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IfSG — Verordnungsermächtigung</w:t>
      </w:r>
    </w:p>
    <w:p>
      <w:r>
        <w:rPr>
          <w:color w:val="555555"/>
          <w:sz w:val="18"/>
        </w:rPr>
        <w:t xml:space="preserve">Infektionsschutzgesetz</w:t>
      </w:r>
    </w:p>
    <w:p>
      <w:r>
        <w:rPr>
          <w:color w:val="555555"/>
          <w:sz w:val="18"/>
        </w:rPr>
        <w:t xml:space="preserve">Stand: 04.07.2026 (konsolidierte Textfassung, kein amtliches Inkrafttretensdatum)</w:t>
      </w:r>
    </w:p>
    <w:p>
      <w:r>
        <w:t xml:space="preserve">(1) Das Bundesministerium für Gesundheit wird ermächtigt, durch Rechtsverordnung mit Zustimmung des Bundesrates zu bestimmen,</w:t>
      </w:r>
    </w:p>
    <w:p>
      <w:pPr>
        <w:ind w:left="420"/>
      </w:pPr>
      <w:r>
        <w:t xml:space="preserve">1. welchen Anforderungen das Wasser für den menschlichen Gebrauch entsprechen muss, um der Vorschrift von § 37 Absatz 1 zu genügen,</w:t>
      </w:r>
    </w:p>
    <w:p>
      <w:pPr>
        <w:ind w:left="420"/>
      </w:pPr>
      <w:r>
        <w:t xml:space="preserve">2. welchen Anforderungen Wasserversorgungsanlagen entsprechen müssen,</w:t>
      </w:r>
    </w:p>
    <w:p>
      <w:pPr>
        <w:ind w:left="420"/>
      </w:pPr>
      <w:r>
        <w:t xml:space="preserve">3. dass und wie die Wasserversorgungsanlagen und das Wasser in hygienischer Hinsicht zu überwachen sind,</w:t>
      </w:r>
    </w:p>
    <w:p>
      <w:pPr>
        <w:ind w:left="420"/>
      </w:pPr>
      <w:r>
        <w:t xml:space="preserve">4. dass die Betreiber von Wasserversorgungsanlagen</w:t>
      </w:r>
    </w:p>
    <w:p>
      <w:pPr>
        <w:ind w:left="780"/>
      </w:pPr>
      <w:r>
        <w:t xml:space="preserve">a) Anzeigepflichten in Bezug auf die Wasserversorgungsanlagen und ihren Betrieb unterliegen,</w:t>
      </w:r>
    </w:p>
    <w:p>
      <w:pPr>
        <w:ind w:left="780"/>
      </w:pPr>
      <w:r>
        <w:t xml:space="preserve">b) bei der Planung, der Errichtung und dem Betrieb von Wasserversorgungsanlagen, insbesondere bei der Aufbereitung des Wassers, bestimmte Anforderungen und allgemein anerkannte Regeln der Technik einzuhalten haben,</w:t>
      </w:r>
    </w:p>
    <w:p>
      <w:pPr>
        <w:ind w:left="780"/>
      </w:pPr>
      <w:r>
        <w:t xml:space="preserve">c) Wasser auf bestimmte Parameter hin zu untersuchen und zu bewerten und die Ergebnisse aufzuzeichnen, aufzubewahren, dem Gesundheitsamt oder der sonst zuständigen Behörde zu übermitteln oder auf deren Verlangen zur Verfügung zu stellen haben,</w:t>
      </w:r>
    </w:p>
    <w:p>
      <w:pPr>
        <w:ind w:left="780"/>
      </w:pPr>
      <w:r>
        <w:t xml:space="preserve">d) ein Risikomanagement der Wasserversorgungsanlage zu betreiben haben,</w:t>
      </w:r>
    </w:p>
    <w:p>
      <w:pPr>
        <w:ind w:left="780"/>
      </w:pPr>
      <w:r>
        <w:t xml:space="preserve">e) im Fall der Nichteinhaltung von Anforderungen die Ursache zu klären und Abhilfe zu schaffen haben,</w:t>
      </w:r>
    </w:p>
    <w:p>
      <w:pPr>
        <w:ind w:left="780"/>
      </w:pPr>
      <w:r>
        <w:t xml:space="preserve">f) Maßnahmenpläne aufzustellen haben,</w:t>
      </w:r>
    </w:p>
    <w:p>
      <w:pPr>
        <w:ind w:left="780"/>
      </w:pPr>
      <w:r>
        <w:t xml:space="preserve">g) an Überwachungsmaßnahmen des Gesundheitsamtes oder der sonst zuständigen Behörde mitzuwirken und diese zu dulden haben,</w:t>
      </w:r>
    </w:p>
    <w:p>
      <w:pPr>
        <w:ind w:left="420"/>
      </w:pPr>
      <w:r>
        <w:t xml:space="preserve">5. welche Handlungs-, Unterlassungs-, Mitwirkungs- und Duldungspflichten den Betreibern von Wasserversorgungsanlagen über Nummer 4 hinaus obliegen,</w:t>
      </w:r>
    </w:p>
    <w:p>
      <w:pPr>
        <w:ind w:left="420"/>
      </w:pPr>
      <w:r>
        <w:t xml:space="preserve">6. welche Anforderungen an Stoffe, Verfahren und Materialien bei der Gewinnung, Aufbereitung oder Verteilung einschließlich Speicherung des Wassers für den menschlichen Gebrauch bestehen, soweit die Stoffe, Verfahren und Materialien nicht den Vorschriften des Lebensmittel- und Futtermittelgesetzbuches unterliegen, und insbesondere,</w:t>
      </w:r>
    </w:p>
    <w:p>
      <w:pPr>
        <w:ind w:left="780"/>
      </w:pPr>
      <w:r>
        <w:t xml:space="preserve">a) dass nur Aufbereitungsstoffe und Desinfektionsverfahren verwendet werden dürfen, die hinreichend wirksam sind, keine vermeidbaren oder unvertretbaren Auswirkungen auf Gesundheit und Umwelt haben und für die das Umweltbundesamt geprüft und festgestellt hat, dass die Aufbereitungsstoffe und Desinfektionsverfahren diese Anforderungen unter bestimmten einzuhaltenden Einsatzbedingungen und bei Beachtung bestimmter Dokumentations- und Untersuchungspflichten erfüllen, und</w:t>
      </w:r>
    </w:p>
    <w:p>
      <w:pPr>
        <w:ind w:left="780"/>
      </w:pPr>
      <w:r>
        <w:t xml:space="preserve">b) welche Anforderungen an Werkstoffe und Materialien, die Kontakt mit dem Wasser für den menschlichen Gebrauch haben, bestehen und dass Werkstoffe und Materialien nur verwendet werden dürfen, wenn das Umweltbundesamt geprüft und in Bewertungsgrundlagen mit Prüfvorschriften und Positivlisten festgestellt hat, dass die Werkstoffe und Materialien diese Anforderungen erfüllen,</w:t>
      </w:r>
    </w:p>
    <w:p>
      <w:pPr>
        <w:ind w:left="420"/>
      </w:pPr>
      <w:r>
        <w:t xml:space="preserve">7. welche Voraussetzungen, Inhalte und Verfahren für die Prüfungen und Feststellungen des Umweltbundesamtes nach Nummer 6 gelten,</w:t>
      </w:r>
    </w:p>
    <w:p>
      <w:pPr>
        <w:ind w:left="420"/>
      </w:pPr>
      <w:r>
        <w:t xml:space="preserve">7a. nach welchem Verfahren Konformitätsbewertungsstellen nach der Delegierten Verordnung (EU) 2024/370 notifiziert werden,</w:t>
      </w:r>
    </w:p>
    <w:p>
      <w:pPr>
        <w:ind w:left="420"/>
      </w:pPr>
      <w:r>
        <w:t xml:space="preserve">8. in welchen Fällen das Wasser für den menschlichen Gebrauch, das den Anforderungen nach Nummer 1 oder Nummer 6 nicht entspricht, nicht oder nur eingeschränkt abgegeben oder anderen nicht oder nur eingeschränkt zur Verfügung gestellt werden darf,</w:t>
      </w:r>
    </w:p>
    <w:p>
      <w:pPr>
        <w:ind w:left="420"/>
      </w:pPr>
      <w:r>
        <w:t xml:space="preserve">9. in welchen Fällen und wie die zuständige Behörde oder die Betreiber von Wasserversorgungsanlagen die Bevölkerung zu informieren haben über</w:t>
      </w:r>
    </w:p>
    <w:p>
      <w:pPr>
        <w:ind w:left="780"/>
      </w:pPr>
      <w:r>
        <w:t xml:space="preserve">a) den Namen, die Adresse und die Eigentumsstruktur des Betreibers sowie Angaben zu einer Kontaktstelle,</w:t>
      </w:r>
    </w:p>
    <w:p>
      <w:pPr>
        <w:ind w:left="780"/>
      </w:pPr>
      <w:r>
        <w:t xml:space="preserve">b) die Wasserversorgung,</w:t>
      </w:r>
    </w:p>
    <w:p>
      <w:pPr>
        <w:ind w:left="780"/>
      </w:pPr>
      <w:r>
        <w:t xml:space="preserve">c) die Beschaffenheit des Wassers für den menschlichen Gebrauch im Hinblick auf die in § 37 Absatz 1 genannten Anforderungen,</w:t>
      </w:r>
    </w:p>
    <w:p>
      <w:pPr>
        <w:ind w:left="780"/>
      </w:pPr>
      <w:r>
        <w:t xml:space="preserve">d) Ergebnisse der vorgeschriebenen Untersuchungen des Wassers für den menschlichen Gebrauch nach einer aufgrund der Nummer 4 erlassenen Rechtsverordnung,</w:t>
      </w:r>
    </w:p>
    <w:p>
      <w:pPr>
        <w:ind w:left="780"/>
      </w:pPr>
      <w:r>
        <w:t xml:space="preserve">e) die Überwachung der Beschaffenheit des Wassers für den menschlichen Gebrauch nach § 37 Absatz 3,</w:t>
      </w:r>
    </w:p>
    <w:p>
      <w:pPr>
        <w:ind w:left="780"/>
      </w:pPr>
      <w:r>
        <w:t xml:space="preserve">f) Maßnahmen des Betreibers zur Aufrechterhaltung oder Wiederherstellung der Beschaffenheit des Wassers für den menschlichen Gebrauch im Hinblick auf die in § 37 Absatz 1 genannten Anforderungen,</w:t>
      </w:r>
    </w:p>
    <w:p>
      <w:pPr>
        <w:ind w:left="780"/>
      </w:pPr>
      <w:r>
        <w:t xml:space="preserve">g) die Maßnahmen des Betreibers zur Anwendung des risikobasierten Ansatzes für sicheres Wasser für den menschlichen Gebrauch,</w:t>
      </w:r>
    </w:p>
    <w:p>
      <w:pPr>
        <w:ind w:left="780"/>
      </w:pPr>
      <w:r>
        <w:t xml:space="preserve">h) einen gesundheits- und verantwortungsbewussten Umgang mit Wasser für den menschlichen Gebrauch,</w:t>
      </w:r>
    </w:p>
    <w:p>
      <w:pPr>
        <w:ind w:left="780"/>
      </w:pPr>
      <w:r>
        <w:t xml:space="preserve">i) den Verbrauch von Wasser für den menschlichen Gebrauch,</w:t>
      </w:r>
    </w:p>
    <w:p>
      <w:pPr>
        <w:ind w:left="780"/>
      </w:pPr>
      <w:r>
        <w:t xml:space="preserve">j) die Höhe und die Berechnungsgrundlagen des Entgelts für Wasser für den menschlichen Gebrauch und</w:t>
      </w:r>
    </w:p>
    <w:p>
      <w:pPr>
        <w:ind w:left="780"/>
      </w:pPr>
      <w:r>
        <w:t xml:space="preserve">k) Verbraucherbeschwerden in Bezug auf Pflichten des Betreibers nach diesem Gesetz oder einer auf Grund dieses Gesetzes erlassenen Rechtsverordnung, soweit dem Betreiber die Informationen als Zusammenfassungen oder Statistiken vorliegen,</w:t>
      </w:r>
    </w:p>
    <w:p>
      <w:pPr>
        <w:ind w:left="420"/>
      </w:pPr>
      <w:r>
        <w:t xml:space="preserve">10. dass und wie Angaben über die Gewinnung und die Beschaffenheit des Wassers für den menschlichen Gebrauch einschließlich personenbezogener Daten zu übermitteln sind, soweit diese Angaben für die Erfassung und die Überwachung der Beschaffenheit des Wassers für den menschlichen Gebrauch und der Wasserversorgung erforderlich sind,</w:t>
      </w:r>
    </w:p>
    <w:p>
      <w:pPr>
        <w:ind w:left="420"/>
      </w:pPr>
      <w:r>
        <w:t xml:space="preserve">11. welchen Anforderungen Untersuchungsstellen unterliegen, die das Wasser für den menschlichen Gebrauch untersuchen, und nach welchen Verfahren Untersuchungen des Wassers für den menschlichen Gebrauch durchzuführen sind,</w:t>
      </w:r>
    </w:p>
    <w:p>
      <w:pPr>
        <w:ind w:left="420"/>
      </w:pPr>
      <w:r>
        <w:t xml:space="preserve">12. in welchen Fällen und wie Untersuchungsstellen, die das Wasser für den menschlichen Gebrauch untersuchen, dem Gesundheitsamt Ergebnisse von solchen Untersuchungen oder dem Umweltbundesamt Daten in aggregierter Form über Untersuchungen von Wasser für den menschlichen Gebrauch zu melden haben und</w:t>
      </w:r>
    </w:p>
    <w:p>
      <w:pPr>
        <w:ind w:left="420"/>
      </w:pPr>
      <w:r>
        <w:t xml:space="preserve">13. in welchen Fällen und wie die Betreiber von Wasserversorgungsanlagen und Installationsunternehmen dem Gesundheitsamt Feststellungen über eine gefährliche Beschaffenheit von Wasserversorgungsanlagen, insbesondere im Hinblick auf das Vorhandensein des Werkstoffs Blei, mitzuteilen haben.</w:t>
      </w:r>
    </w:p>
    <w:p>
      <w:r>
        <w:t xml:space="preserve">Die Rechtsverordnung bedarf des Einvernehmens mit dem Bundesministerium für Umwelt, Naturschutz, nukleare Sicherheit und Verbraucherschutz, soweit in der Rechtsverordnung Regelungen zu Wasserversorgungsanlagen mit Wassergewinnung oder zu radioaktiven Stoffen im Wasser für den menschlichen Gebrauch getroffen werden. Das Bundesministerium für Gesundheit kann die Ermächtigung nach Satz 1 Nummer 7a durch Rechtsverordnung auf das Umweltbundesamt übertragen.</w:t>
      </w:r>
    </w:p>
    <w:p>
      <w:r>
        <w:t xml:space="preserve">(2) Das Bundesministerium für Gesundheit bestimmt durch Rechtsverordnung mit Zustimmung des Bundesrates,</w:t>
      </w:r>
    </w:p>
    <w:p>
      <w:pPr>
        <w:ind w:left="420"/>
      </w:pPr>
      <w:r>
        <w:t xml:space="preserve">1. welchen Anforderungen das in § 37 Abs. 2 bezeichnete Wasser entsprechen muss, um der Vorschrift von § 37 Abs. 2 zu genügen,</w:t>
      </w:r>
    </w:p>
    <w:p>
      <w:pPr>
        <w:ind w:left="420"/>
      </w:pPr>
      <w:r>
        <w:t xml:space="preserve">2. dass und wie die Schwimm- oder Badebecken, die Schwimm- oder Badeteiche und das Wasser in hygienischer Hinsicht zu überwachen sind,</w:t>
      </w:r>
    </w:p>
    <w:p>
      <w:pPr>
        <w:ind w:left="420"/>
      </w:pPr>
      <w:r>
        <w:t xml:space="preserve">3. welche Handlungs-, Unterlassungs-, Mitwirkungs- und Duldungspflichten dem Betreiber eines Schwimm- oder Badebeckens oder eines Schwimm- oder Badeteiches im Sinne der Nummern 1 und 2 obliegen, welche Wasseruntersuchungen dieser durchführen oder durchführen lassen muss und in welchen Zeitabständen diese vorzunehmen sind,</w:t>
      </w:r>
    </w:p>
    <w:p>
      <w:pPr>
        <w:ind w:left="420"/>
      </w:pPr>
      <w:r>
        <w:t xml:space="preserve">4. in welchen Fällen das in § 37 Abs. 2 bezeichnete Wasser, das den Anforderungen nach Nummer 1 nicht entspricht, anderen nicht zur Verfügung gestellt werden darf und</w:t>
      </w:r>
    </w:p>
    <w:p>
      <w:pPr>
        <w:ind w:left="420"/>
      </w:pPr>
      <w:r>
        <w:t xml:space="preserve">5. dass für die Aufbereitung des in § 37 Absatz 2 Satz 1 bezeichneten Wassers nur Mittel und Verfahren verwendet werden dürfen, die vom Umweltbundesamt in einer Liste bekannt gemacht worden sind.</w:t>
      </w:r>
    </w:p>
    <w:p>
      <w:r>
        <w:t xml:space="preserve">Die Aufnahme von Mitteln und Verfahren zur Aufbereitung des in § 37 Absatz 2 Satz 2 bezeichneten Wassers in die Liste nach Nummer 5 erfolgt nur, wenn das Umweltbundesamt festgestellt hat, dass die Mittel und Verfahren mindestens den allgemein anerkannten Regeln der Technik entsprechen.</w:t>
      </w:r>
    </w:p>
    <w:p>
      <w:r>
        <w:t xml:space="preserve">(3) (weggefallen)</w:t>
      </w:r>
    </w:p>
    <w:p>
      <w:r>
        <w:rPr>
          <w:color w:val="555555"/>
          <w:sz w:val="17"/>
        </w:rPr>
        <w:t xml:space="preserve">Zitiervorschlag: § 38 IfSG</w:t>
      </w:r>
    </w:p>
    <w:p>
      <w:r>
        <w:rPr>
          <w:color w:val="555555"/>
          <w:sz w:val="17"/>
        </w:rPr>
        <w:t xml:space="preserve">Quelle: Bundesamt für Justiz, abgerufen 04.07.2026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