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IfSG — Teilnahme des behandelnden Arztes</w:t>
      </w:r>
    </w:p>
    <w:p>
      <w:r>
        <w:rPr>
          <w:color w:val="555555"/>
          <w:sz w:val="18"/>
        </w:rPr>
        <w:t xml:space="preserve">Infektionsschutzgesetz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behandelnde Arzt ist berechtigt, mit Zustimmung des Patienten an den Untersuchungen nach § 25 sowie an der inneren Leichenschau teilzunehmen.</w:t>
      </w:r>
    </w:p>
    <w:p>
      <w:r>
        <w:rPr>
          <w:color w:val="555555"/>
          <w:sz w:val="17"/>
        </w:rPr>
        <w:t xml:space="preserve">Zitiervorschlag: § 26 IfSG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https://recht.nulegal.eu/gesetze/IfSG/26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