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IfSG — Feststellung und Heilbehandlung übertragbarer Krankheiten, Verordnungsermächtigung</w:t>
      </w:r>
    </w:p>
    <w:p>
      <w:r>
        <w:rPr>
          <w:color w:val="555555"/>
          <w:sz w:val="18"/>
        </w:rPr>
        <w:t xml:space="preserve">Infektionsschutzgesetz</w:t>
      </w:r>
    </w:p>
    <w:p>
      <w:r>
        <w:rPr>
          <w:color w:val="555555"/>
          <w:sz w:val="18"/>
        </w:rPr>
        <w:t xml:space="preserve">Stand: 04.07.2026 (konsolidierte Textfassung, kein amtliches Inkrafttretensdatum)</w:t>
      </w:r>
    </w:p>
    <w:p>
      <w:r>
        <w:t xml:space="preserve">(1) Die Feststellung oder die Heilbehandlung einer in § 6 Absatz 1 Satz 1 Nummer 1, 2 oder 5 oder einer in § 34 Absatz 1 Satz 1 genannten Krankheit oder einer Infektion mit einem in § 7 genannten Krankheitserreger oder einer sonstigen sexuell übertragbaren Krankheit darf nur durch einen Arzt erfolgen. Abweichend von Satz 1 ist</w:t>
      </w:r>
    </w:p>
    <w:p>
      <w:pPr>
        <w:ind w:left="420"/>
      </w:pPr>
      <w:r>
        <w:t xml:space="preserve">1. Apothekern und dem in einer Apotheke tätigen pharmazeutischen Personal sowie Pflegefachpersonen die Anwendung von In-vitro-Diagnostika, die für patientennahe Schnelltests bei Testung auf Adenoviren, Influenzaviren, das Norovirus, Respiratorische Synzytial Viren und das Rotavirus verwendet werden, gestattet, wenn sie die Testung für eine Apotheke oder eine zugelassene Pflegeeinrichtung im Sinne von § 72 Absatz 1 Satz 1 des Elften Buches Sozialgesetzbuch durchführen, zu deren Personal sie gehören, und</w:t>
      </w:r>
    </w:p>
    <w:p>
      <w:pPr>
        <w:ind w:left="420"/>
      </w:pPr>
      <w:r>
        <w:t xml:space="preserve">2. Personen unabhängig von ihrer beruflichen Qualifikation die Anwendung von In-vitro-Diagnostika, die für patientennahe Schnelltests bei Testung auf HIV, das Hepatitis-C-Virus, das Severe-Acute-Respiratory-Syndrome-Coronavirus-2 (SARS-CoV-2) und Treponema pallidum verwendet werden, gestattet.</w:t>
      </w:r>
    </w:p>
    <w:p>
      <w:r>
        <w:t xml:space="preserve">(2) Das Bundesministerium für Gesundheit wird ermächtigt, soweit dies zur Verhinderung der Verbreitung von Krankheiten oder Krankheitserregern erforderlich ist, durch Rechtsverordnung mit Zustimmung des Bundesrates festzulegen, dass abweichend von Absatz 1 Satz 1</w:t>
      </w:r>
    </w:p>
    <w:p>
      <w:pPr>
        <w:ind w:left="420"/>
      </w:pPr>
      <w:r>
        <w:t xml:space="preserve">1. Personen unabhängig von ihrer beruflichen Qualifikation die Anwendung von In-vitro-Diagnostika gestattet ist, die für patientennahe Schnelltests bei Testung auf die in Absatz 1 genannten Krankheiten und Krankheitserreger, auch soweit sie nicht in Absatz 1 Satz 2 Nummer 2 genannt sind, verwendet werden, und</w:t>
      </w:r>
    </w:p>
    <w:p>
      <w:pPr>
        <w:ind w:left="420"/>
      </w:pPr>
      <w:r>
        <w:t xml:space="preserve">2. auch ein Zahnarzt oder ein Tierarzt im Rahmen einer Labordiagnostik den direkten oder indirekten Nachweis eines in § 7 genannten Krankheitserregers führen darf.</w:t>
      </w:r>
    </w:p>
    <w:p>
      <w:r>
        <w:t xml:space="preserve">In der Rechtsverordnung nach Satz 1 kann auch geregelt werden, dass Medizinische Technologen für Veterinärmedizin bei der Durchführung laboranalytischer Untersuchungen zum Nachweis eines in § 7 genannten Krankheitserregers die in § 5 Absatz 1 Satz 1 Nummer 1 des MT-Berufe-Gesetzes genannten Tätigkeiten ausüben dürfen und dass in diesem Fall der Vorbehalt der Ausübung dieser Tätigkeiten durch Medizinische Technologen für Laboratoriumsanalytik nicht gilt.</w:t>
      </w:r>
    </w:p>
    <w:p>
      <w:r>
        <w:rPr>
          <w:color w:val="555555"/>
          <w:sz w:val="17"/>
        </w:rPr>
        <w:t xml:space="preserve">Zitiervorschlag: § 24 IfSG</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