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IfSG — Nosokomiale Infektionen; Resistenzen; Rechtsverordnungen durch die Länder</w:t>
      </w:r>
    </w:p>
    <w:p>
      <w:r>
        <w:rPr>
          <w:color w:val="555555"/>
          <w:sz w:val="18"/>
        </w:rPr>
        <w:t xml:space="preserve">Infektionsschutzgesetz</w:t>
      </w:r>
    </w:p>
    <w:p>
      <w:r>
        <w:rPr>
          <w:color w:val="555555"/>
          <w:sz w:val="18"/>
        </w:rPr>
        <w:t xml:space="preserve">Stand: 20.09.2022 (konsolidierte Textfassung, kein amtliches Inkrafttretensdatum)</w:t>
      </w:r>
    </w:p>
    <w:p>
      <w:r>
        <w:t xml:space="preserve">(1) Beim Robert Koch-Institut wird eine Kommission für Infektionsprävention in medizinischen Einrichtungen und in Einrichtungen und Unternehmen der Pflege und Eingliederungshilfe eingerichtet. Die Kommission gibt sich eine Geschäftsordnung, die der Zustimmung des Bundesministeriums für Gesundheit bedarf. Die Kommission erstellt Empfehlungen zur Prävention nosokomialer und weiterer Infektionen sowie zu betrieblich-organisatorischen und baulich-funktionellen Maßnahmen der Hygiene in Krankenhäusern, anderen medizinischen Einrichtungen und Einrichtungen und Unternehmen der Pflege und Eingliederungshilfe. Sie erstellt zudem Empfehlungen zu Kriterien und Verfahren zur Einstufung von Einrichtungen als Einrichtungen für ambulantes Operieren. Die Empfehlungen der Kommission werden unter Berücksichtigung aktueller infektionsepidemiologischer Auswertungen stetig weiterentwickelt und vom Robert Koch-Institut veröffentlicht. Die Mitglieder der Kommission werden vom Bundesministerium für Gesundheit im Benehmen mit den obersten Landesgesundheitsbehörden unter Berücksichtigung des gesamten Aufgabenspektrums berufen. Vertreter des Bundesministeriums für Gesundheit, der obersten Landesgesundheitsbehörden und des Robert Koch-Institutes nehmen mit beratender Stimme an den Sitzungen teil.</w:t>
      </w:r>
    </w:p>
    <w:p>
      <w:r>
        <w:t xml:space="preserve">(2) Beim Robert Koch-Institut wird eine Kommission Antiinfektiva, Resistenz und Therapie eingerichtet. Die Kommission gibt sich eine Geschäftsordnung, die der Zustimmung des Bundesministeriums für Gesundheit bedarf. Die Kommission erstellt Empfehlungen mit allgemeinen Grundsätzen für Diagnostik und antimikrobielle Therapie, insbesondere bei Infektionen mit resistenten Krankheitserregern. Die Empfehlungen der Kommission werden unter Berücksichtigung aktueller infektionsepidemiologischer Auswertungen stetig weiterentwickelt und vom Robert Koch-Institut veröffentlicht. Die Mitglieder der Kommission werden vom Bundesministerium für Gesundheit im Benehmen mit den obersten Landesgesundheitsbehörden berufen. Vertreter des Bundesministeriums für Gesundheit, der obersten Landesgesundheitsbehörden, des Robert Koch-Institutes und des Bundesinstitutes für Arzneimittel und Medizinprodukte nehmen mit beratender Stimme an den Sitzungen teil.</w:t>
      </w:r>
    </w:p>
    <w:p>
      <w:r>
        <w:t xml:space="preserve">(3) Die Leiter folgender Einrichtungen haben sicherzustellen, dass die nach dem Stand der medizinischen Wissenschaft erforderlichen Maßnahmen getroffen werden, um nosokomiale Infektionen zu verhüten und die Weiterverbreitung von Krankheitserregern, insbesondere solcher mit Resistenzen, zu vermeiden:</w:t>
      </w:r>
    </w:p>
    <w:p>
      <w:pPr>
        <w:ind w:left="420"/>
      </w:pPr>
      <w:r>
        <w:t xml:space="preserve">1. Krankenhäuser,</w:t>
      </w:r>
    </w:p>
    <w:p>
      <w:pPr>
        <w:ind w:left="420"/>
      </w:pPr>
      <w:r>
        <w:t xml:space="preserve">2. Einrichtungen für ambulantes Operieren,</w:t>
      </w:r>
    </w:p>
    <w:p>
      <w:pPr>
        <w:ind w:left="420"/>
      </w:pPr>
      <w:r>
        <w:t xml:space="preserve">3. Vorsorge- oder Rehabilitationseinrichtungen, in denen eine den Krankenhäusern vergleichbare medizinische Versorgung erfolgt,</w:t>
      </w:r>
    </w:p>
    <w:p>
      <w:pPr>
        <w:ind w:left="420"/>
      </w:pPr>
      <w:r>
        <w:t xml:space="preserve">4. Dialyseeinrichtungen,</w:t>
      </w:r>
    </w:p>
    <w:p>
      <w:pPr>
        <w:ind w:left="420"/>
      </w:pPr>
      <w:r>
        <w:t xml:space="preserve">5. Tageskliniken,</w:t>
      </w:r>
    </w:p>
    <w:p>
      <w:pPr>
        <w:ind w:left="420"/>
      </w:pPr>
      <w:r>
        <w:t xml:space="preserve">6. Entbindungseinrichtungen,</w:t>
      </w:r>
    </w:p>
    <w:p>
      <w:pPr>
        <w:ind w:left="420"/>
      </w:pPr>
      <w:r>
        <w:t xml:space="preserve">7. Behandlungs- oder Versorgungseinrichtungen, die mit einer der in den Nummern 1 bis 6 genannten Einrichtungen vergleichbar sind,</w:t>
      </w:r>
    </w:p>
    <w:p>
      <w:pPr>
        <w:ind w:left="420"/>
      </w:pPr>
      <w:r>
        <w:t xml:space="preserve">8. Arztpraxen, Zahnarztpraxen, psychotherapeutische Praxen,</w:t>
      </w:r>
    </w:p>
    <w:p>
      <w:pPr>
        <w:ind w:left="420"/>
      </w:pPr>
      <w:r>
        <w:t xml:space="preserve">9. Praxen sonstiger humanmedizinischer Heilberufe,</w:t>
      </w:r>
    </w:p>
    <w:p>
      <w:pPr>
        <w:ind w:left="420"/>
      </w:pPr>
      <w:r>
        <w:t xml:space="preserve">10. Einrichtungen des öffentlichen Gesundheitsdienstes, in denen medizinische Untersuchungen, Präventionsmaßnahmen oder ambulante Behandlungen durchgeführt werden,</w:t>
      </w:r>
    </w:p>
    <w:p>
      <w:pPr>
        <w:ind w:left="420"/>
      </w:pPr>
      <w:r>
        <w:t xml:space="preserve">11. Rettungsdienste und Einrichtungen des Zivil- und Katastrophenschutzes.</w:t>
      </w:r>
    </w:p>
    <w:p>
      <w:r>
        <w:t xml:space="preserve">Die Einhaltung des Standes der medizinischen Wissenschaft auf diesem Gebiet wird vermutet, wenn jeweils die veröffentlichten Empfehlungen der Kommission für Krankenhaushygiene und Infektionsprävention beim Robert Koch-Institut und der Kommission Antiinfektiva, Resistenz und Therapie beim Robert Koch-Institut beachtet worden sind.</w:t>
      </w:r>
    </w:p>
    <w:p>
      <w:r>
        <w:t xml:space="preserve">(4) Die Leiter von Einrichtungen nach Absatz 3 Satz 1 Nummer 1 bis 3 haben sicherzustellen, dass die nach Absatz 4a festgelegten nosokomialen Infektionen und das Auftreten von Krankheitserregern mit speziellen Resistenzen und Multiresistenzen fortlaufend in einer gesonderten Niederschrift aufgezeichnet, bewertet und sachgerechte Schlussfolgerungen hinsichtlich erforderlicher Präventionsmaßnahmen gezogen werden und dass die erforderlichen Präventionsmaßnahmen dem Personal mitgeteilt und umgesetzt werden. Darüber hinaus haben die Leiter sicherzustellen, dass die nach Absatz 4a festgelegten Daten zu Art und Umfang des Antibiotika-Verbrauchs fortlaufend in zusammengefasster Form aufgezeichnet, unter Berücksichtigung der lokalen Resistenzsituation bewertet und sachgerechte Schlussfolgerungen hinsichtlich des Einsatzes von Antibiotika gezogen werden und dass die erforderlichen Anpassungen des Antibiotikaeinsatzes dem Personal mitgeteilt und umgesetzt werden. Die Aufzeichnungen nach den Sätzen 1 und 2 sind zehn Jahre nach deren Anfertigung aufzubewahren. Dem zuständigen Gesundheitsamt ist auf Verlangen Einsicht in die Aufzeichnungen, Bewertungen und Schlussfolgerungen zu gewähren.</w:t>
      </w:r>
    </w:p>
    <w:p>
      <w:r>
        <w:t xml:space="preserve">(4a) Das Robert Koch-Institut hat entsprechend den jeweiligen epidemiologischen Erkenntnissen die nach Absatz 4 zu erfassenden nosokomialen Infektionen und Krankheitserreger mit speziellen Resistenzen und Multiresistenzen sowie Daten zu Art und Umfang des Antibiotikaverbrauchs festzulegen. Die Festlegungen hat es in einer Liste im Bundesgesundheitsblatt zu veröffentlichen. Die Liste ist an den aktuellen Stand anzupassen.</w:t>
      </w:r>
    </w:p>
    <w:p>
      <w:r>
        <w:t xml:space="preserve">(5) Die Leiter folgender Einrichtungen haben sicherzustellen, dass innerbetriebliche Verfahrensweisen zur Infektionshygiene in Hygieneplänen festgelegt sind:</w:t>
      </w:r>
    </w:p>
    <w:p>
      <w:pPr>
        <w:ind w:left="420"/>
      </w:pPr>
      <w:r>
        <w:t xml:space="preserve">1. Krankenhäuser,</w:t>
      </w:r>
    </w:p>
    <w:p>
      <w:pPr>
        <w:ind w:left="420"/>
      </w:pPr>
      <w:r>
        <w:t xml:space="preserve">2. Einrichtungen für ambulantes Operieren,</w:t>
      </w:r>
    </w:p>
    <w:p>
      <w:pPr>
        <w:ind w:left="420"/>
      </w:pPr>
      <w:r>
        <w:t xml:space="preserve">3. Vorsorge- oder Rehabilitationseinrichtungen,</w:t>
      </w:r>
    </w:p>
    <w:p>
      <w:pPr>
        <w:ind w:left="420"/>
      </w:pPr>
      <w:r>
        <w:t xml:space="preserve">4. Dialyseeinrichtungen,</w:t>
      </w:r>
    </w:p>
    <w:p>
      <w:pPr>
        <w:ind w:left="420"/>
      </w:pPr>
      <w:r>
        <w:t xml:space="preserve">5. Tageskliniken,</w:t>
      </w:r>
    </w:p>
    <w:p>
      <w:pPr>
        <w:ind w:left="420"/>
      </w:pPr>
      <w:r>
        <w:t xml:space="preserve">6. Entbindungseinrichtungen,</w:t>
      </w:r>
    </w:p>
    <w:p>
      <w:pPr>
        <w:ind w:left="420"/>
      </w:pPr>
      <w:r>
        <w:t xml:space="preserve">7. Behandlungs- oder Versorgungseinrichtungen, die mit einer der in den Nummern 1 bis 6 genannten Einrichtungen vergleichbar sind,</w:t>
      </w:r>
    </w:p>
    <w:p>
      <w:pPr>
        <w:ind w:left="420"/>
      </w:pPr>
      <w:r>
        <w:t xml:space="preserve">8. Rettungsdienste und Einrichtungen des Zivil- und Katastrophenschutzes.</w:t>
      </w:r>
    </w:p>
    <w:p>
      <w:r>
        <w:t xml:space="preserve">Die Landesregierungen können durch Rechtsverordnung vorsehen, dass Leiter von Zahnarztpraxen sowie Leiter von Arztpraxen und Praxen sonstiger humanmedizinischer Heilberufe, in denen invasive Eingriffe vorgenommen werden, sicherzustellen haben, dass innerbetriebliche Verfahrensweisen zur Infektionshygiene in Hygieneplänen festgelegt sind. Die Landesregierungen können die Ermächtigung durch Rechtsverordnung auf andere Stellen übertragen.</w:t>
      </w:r>
    </w:p>
    <w:p>
      <w:r>
        <w:t xml:space="preserve">(6) Einrichtungen nach Absatz 5 Satz 1 unterliegen der infektionshygienischen Überwachung durch das Gesundheitsamt. Einrichtungen nach Absatz 5 Satz 2 können durch das Gesundheitsamt infektionshygienisch überwacht werden.</w:t>
      </w:r>
    </w:p>
    <w:p>
      <w:r>
        <w:t xml:space="preserve">(6a) (weggefallen)</w:t>
      </w:r>
    </w:p>
    <w:p>
      <w:r>
        <w:t xml:space="preserve">(7) (weggefallen)</w:t>
      </w:r>
    </w:p>
    <w:p>
      <w:r>
        <w:t xml:space="preserve">(8) Die Landesregierungen haben durch Rechtsverordnung für Krankenhäuser, Einrichtungen für ambulantes Operieren, Vorsorge- oder Rehabilitationseinrichtungen, in denen eine den Krankenhäusern vergleichbare medizinische Versorgung erfolgt, sowie für Dialyseeinrichtungen und Tageskliniken die jeweils erforderlichen Maßnahmen zur Verhütung, Erkennung, Erfassung und Bekämpfung von nosokomialen Infektionen und Krankheitserregern mit Resistenzen zu regeln. Dabei sind insbesondere Regelungen zu treffen über</w:t>
      </w:r>
    </w:p>
    <w:p>
      <w:pPr>
        <w:ind w:left="420"/>
      </w:pPr>
      <w:r>
        <w:t xml:space="preserve">1. hygienische Mindestanforderungen an Bau, Ausstattung und Betrieb der Einrichtungen,</w:t>
      </w:r>
    </w:p>
    <w:p>
      <w:pPr>
        <w:ind w:left="420"/>
      </w:pPr>
      <w:r>
        <w:t xml:space="preserve">2. Bestellung, Aufgaben und Zusammensetzung einer Hygienekommission,</w:t>
      </w:r>
    </w:p>
    <w:p>
      <w:pPr>
        <w:ind w:left="420"/>
      </w:pPr>
      <w:r>
        <w:t xml:space="preserve">3. die erforderliche personelle Ausstattung mit Hygienefachkräften und Krankenhaushygienikern und die Bestellung von hygienebeauftragten Ärzten einschließlich bis längstens zum 31. Dezember 2019 befristeter Übergangsvorschriften zur Qualifikation einer ausreichenden Zahl geeigneten Fachpersonals,</w:t>
      </w:r>
    </w:p>
    <w:p>
      <w:pPr>
        <w:ind w:left="420"/>
      </w:pPr>
      <w:r>
        <w:t xml:space="preserve">4. Aufgaben und Anforderungen an Fort- und Weiterbildung der in der Einrichtung erforderlichen Hygienefachkräfte, Krankenhaushygieniker und hygienebeauftragten Ärzte,</w:t>
      </w:r>
    </w:p>
    <w:p>
      <w:pPr>
        <w:ind w:left="420"/>
      </w:pPr>
      <w:r>
        <w:t xml:space="preserve">5. die erforderliche Qualifikation und Schulung des Personals hinsichtlich der Infektionsprävention,</w:t>
      </w:r>
    </w:p>
    <w:p>
      <w:pPr>
        <w:ind w:left="420"/>
      </w:pPr>
      <w:r>
        <w:t xml:space="preserve">6. Strukturen und Methoden zur Erkennung von nosokomialen Infektionen und resistenten Erregern und zur Erfassung im Rahmen der ärztlichen und pflegerischen Dokumentationspflicht,</w:t>
      </w:r>
    </w:p>
    <w:p>
      <w:pPr>
        <w:ind w:left="420"/>
      </w:pPr>
      <w:r>
        <w:t xml:space="preserve">7. die zur Erfüllung ihrer jeweiligen Aufgaben erforderliche Einsichtnahme der in Nummer 4 genannten Personen in Akten der jeweiligen Einrichtung einschließlich der Patientenakten,</w:t>
      </w:r>
    </w:p>
    <w:p>
      <w:pPr>
        <w:ind w:left="420"/>
      </w:pPr>
      <w:r>
        <w:t xml:space="preserve">8. die Information des Personals über Maßnahmen, die zur Verhütung und Bekämpfung von nosokomialen Infektionen und Krankheitserregern mit Resistenzen erforderlich sind,</w:t>
      </w:r>
    </w:p>
    <w:p>
      <w:pPr>
        <w:ind w:left="420"/>
      </w:pPr>
      <w:r>
        <w:t xml:space="preserve">9. die klinisch-mikrobiologisch und klinisch-pharmazeutische Beratung des ärztlichen Personals,</w:t>
      </w:r>
    </w:p>
    <w:p>
      <w:pPr>
        <w:ind w:left="420"/>
      </w:pPr>
      <w:r>
        <w:t xml:space="preserve">10. die Information von aufnehmenden Einrichtungen und niedergelassenen Ärzten bei der Verlegung, Überweisung oder Entlassung von Patienten über Maßnahmen, die zur Verhütung und Bekämpfung von nosokomialen Infektionen und von Krankheitserregern mit Resistenzen erforderlich sind.</w:t>
      </w:r>
    </w:p>
    <w:p>
      <w:r>
        <w:t xml:space="preserve">Für Rettungsdienste können die Landesregierungen erforderliche Maßnahmen nach den Sätzen 1 und 2 regeln. Die Landesregierungen können die Ermächtigung durch Rechtsverordnung auf andere Stellen übertragen.</w:t>
      </w:r>
    </w:p>
    <w:p>
      <w:r>
        <w:rPr>
          <w:color w:val="555555"/>
          <w:sz w:val="17"/>
        </w:rPr>
        <w:t xml:space="preserve">Zitiervorschlag: § 23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