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IfSG — Impfstoffe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09.08.2019 (konsolidierte Textfassung, kein amtliches Inkrafttretensdatum)</w:t>
      </w:r>
    </w:p>
    <w:p>
      <w:r>
        <w:t xml:space="preserve">Bei einer auf Grund dieses Gesetzes angeordneten oder einer von der obersten Landesgesundheitsbehörde öffentlich empfohlenen Schutzimpfung oder einer Impfung nach § 17a Absatz 2 des Soldatengesetzes dürfen Impfstoffe verwendet werden, die Mikroorganismen enthalten, welche von den Geimpften ausgeschieden und von anderen Personen aufgenommen werden können. Das Grundrecht der körperlichen Unversehrtheit (Artikel 2 Abs. 2 Satz 1 Grundgesetz) wird insoweit eingeschränkt.</w:t>
      </w:r>
    </w:p>
    <w:p>
      <w:r>
        <w:rPr>
          <w:color w:val="555555"/>
          <w:sz w:val="17"/>
        </w:rPr>
        <w:t xml:space="preserve">Zitiervorschlag: § 21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