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IfSG — Begriffsbestimmungen</w:t>
      </w:r>
    </w:p>
    <w:p>
      <w:r>
        <w:rPr>
          <w:color w:val="555555"/>
          <w:sz w:val="18"/>
        </w:rPr>
        <w:t xml:space="preserve">Infektionsschutzgesetz</w:t>
      </w:r>
    </w:p>
    <w:p>
      <w:r>
        <w:rPr>
          <w:color w:val="555555"/>
          <w:sz w:val="18"/>
        </w:rPr>
        <w:t xml:space="preserve">Stand: 01.01.2024 (konsolidierte Textfassung, kein amtliches Inkrafttretensdatum)</w:t>
      </w:r>
    </w:p>
    <w:p>
      <w:r>
        <w:t xml:space="preserve">Im Sinne dieses Gesetzes ist</w:t>
      </w:r>
    </w:p>
    <w:p>
      <w:pPr>
        <w:ind w:left="420"/>
      </w:pPr>
      <w:r>
        <w:t xml:space="preserve">1. Krankheitserregerein vermehrungsfähiges Agens (Virus, Bakterium, Pilz, Parasit) oder ein sonstiges biologisches transmissibles Agens, das bei Menschen eine Infektion oder übertragbare Krankheit verursachen kann,</w:t>
      </w:r>
    </w:p>
    <w:p>
      <w:pPr>
        <w:ind w:left="420"/>
      </w:pPr>
      <w:r>
        <w:t xml:space="preserve">2. Infektiondie Aufnahme eines Krankheitserregers und seine nachfolgende Entwicklung oder Vermehrung im menschlichen Organismus,</w:t>
      </w:r>
    </w:p>
    <w:p>
      <w:pPr>
        <w:ind w:left="420"/>
      </w:pPr>
      <w:r>
        <w:t xml:space="preserve">3. übertragbare Krankheiteine durch Krankheitserreger oder deren toxische Produkte, die unmittelbar oder mittelbar auf den Menschen übertragen werden, verursachte Krankheit,</w:t>
      </w:r>
    </w:p>
    <w:p>
      <w:pPr>
        <w:ind w:left="420"/>
      </w:pPr>
      <w:r>
        <w:t xml:space="preserve">3a. bedrohliche übertragbare Krankheiteine übertragbare Krankheit, die auf Grund klinisch schwerer Verlaufsformen oder ihrer Ausbreitungsweise eine schwerwiegende Gefahr für die Allgemeinheit verursachen kann,</w:t>
      </w:r>
    </w:p>
    <w:p>
      <w:pPr>
        <w:ind w:left="420"/>
      </w:pPr>
      <w:r>
        <w:t xml:space="preserve">4. Krankereine Person, die an einer übertragbaren Krankheit erkrankt ist,</w:t>
      </w:r>
    </w:p>
    <w:p>
      <w:pPr>
        <w:ind w:left="420"/>
      </w:pPr>
      <w:r>
        <w:t xml:space="preserve">5. Krankheitsverdächtigereine Person, bei der Symptome bestehen, welche das Vorliegen einer bestimmten übertragbaren Krankheit vermuten lassen,</w:t>
      </w:r>
    </w:p>
    <w:p>
      <w:pPr>
        <w:ind w:left="420"/>
      </w:pPr>
      <w:r>
        <w:t xml:space="preserve">6. Ausscheidereine Person, die Krankheitserreger ausscheidet und dadurch eine Ansteckungsquelle für die Allgemeinheit sein kann, ohne krank oder krankheitsverdächtig zu sein,</w:t>
      </w:r>
    </w:p>
    <w:p>
      <w:pPr>
        <w:ind w:left="420"/>
      </w:pPr>
      <w:r>
        <w:t xml:space="preserve">7. Ansteckungsverdächtigereine Person, von der anzunehmen ist, dass sie Krankheitserreger aufgenommen hat, ohne krank, krankheitsverdächtig oder Ausscheider zu sein,</w:t>
      </w:r>
    </w:p>
    <w:p>
      <w:pPr>
        <w:ind w:left="420"/>
      </w:pPr>
      <w:r>
        <w:t xml:space="preserve">8. nosokomiale Infektioneine Infektion mit lokalen oder systemischen Infektionszeichen als Reaktion auf das Vorhandensein von Erregern oder ihrer Toxine, die im zeitlichen Zusammenhang mit einer stationären oder einer ambulanten medizinischen Maßnahme steht, soweit die Infektion nicht bereits vorher bestand,</w:t>
      </w:r>
    </w:p>
    <w:p>
      <w:pPr>
        <w:ind w:left="420"/>
      </w:pPr>
      <w:r>
        <w:t xml:space="preserve">9. Schutzimpfungdie Gabe eines Impfstoffes mit dem Ziel, vor einer übertragbaren Krankheit zu schützen,</w:t>
      </w:r>
    </w:p>
    <w:p>
      <w:pPr>
        <w:ind w:left="420"/>
      </w:pPr>
      <w:r>
        <w:t xml:space="preserve">10. andere Maßnahme der spezifischen Prophylaxedie Gabe von Antikörpern (passive Immunprophylaxe) oder die Gabe von Medikamenten (Chemoprophylaxe) zum Schutz vor Weiterverbreitung bestimmter übertragbarer Krankheiten,</w:t>
      </w:r>
    </w:p>
    <w:p>
      <w:pPr>
        <w:ind w:left="420"/>
      </w:pPr>
      <w:r>
        <w:t xml:space="preserve">11. (weggefallen)</w:t>
      </w:r>
    </w:p>
    <w:p>
      <w:pPr>
        <w:ind w:left="420"/>
      </w:pPr>
      <w:r>
        <w:t xml:space="preserve">12. Gesundheitsschädlingein Tier, durch das Krankheitserreger auf Menschen übertragen werden können,</w:t>
      </w:r>
    </w:p>
    <w:p>
      <w:pPr>
        <w:ind w:left="420"/>
      </w:pPr>
      <w:r>
        <w:t xml:space="preserve">13. Sentinel-Erhebungeine epidemiologische Methode zur stichprobenartigen Erfassung der Verbreitung bestimmter übertragbarer Krankheiten und der Immunität gegen bestimmte übertragbare Krankheiten in ausgewählten Bevölkerungsgruppen,</w:t>
      </w:r>
    </w:p>
    <w:p>
      <w:pPr>
        <w:ind w:left="420"/>
      </w:pPr>
      <w:r>
        <w:t xml:space="preserve">14. Gesundheitsamtdie nach Landesrecht für die Durchführung dieses Gesetzes bestimmte und mit einem Amtsarzt besetzte Behörde,</w:t>
      </w:r>
    </w:p>
    <w:p>
      <w:pPr>
        <w:ind w:left="420"/>
      </w:pPr>
      <w:r>
        <w:t xml:space="preserve">15. Einrichtung oder Unternehmeneine juristische Person, eine Personengesellschaft oder eine natürliche Person, in deren unmittelbarem Verantwortungsbereich natürliche Personen behandelt, betreut, gepflegt oder untergebracht werden,</w:t>
      </w:r>
    </w:p>
    <w:p>
      <w:pPr>
        <w:ind w:left="420"/>
      </w:pPr>
      <w:r>
        <w:t xml:space="preserve">15a. Leitung der Einrichtung</w:t>
      </w:r>
    </w:p>
    <w:p>
      <w:pPr>
        <w:ind w:left="780"/>
      </w:pPr>
      <w:r>
        <w:t xml:space="preserve">a) die natürliche Person oder die natürlichen Personen, die im Verantwortungsbereich einer Einrichtung durch diese mit den Aufgaben nach diesem Gesetz betraut ist oder sind,</w:t>
      </w:r>
    </w:p>
    <w:p>
      <w:pPr>
        <w:ind w:left="780"/>
      </w:pPr>
      <w:r>
        <w:t xml:space="preserve">b) sofern eine Aufgabenübertragung nach Buchstabe a nicht erfolgt ist, die natürliche Person oder die natürlichen Personen, die für die Geschäftsführung zuständig ist oder sind, oder</w:t>
      </w:r>
    </w:p>
    <w:p>
      <w:pPr>
        <w:ind w:left="780"/>
      </w:pPr>
      <w:r>
        <w:t xml:space="preserve">c) sofern die Einrichtung von einer einzelnen natürlichen Person betrieben wird, diese selbst,</w:t>
      </w:r>
    </w:p>
    <w:p>
      <w:pPr>
        <w:ind w:left="420"/>
      </w:pPr>
      <w:r>
        <w:t xml:space="preserve">15b. Leitung des Unternehmens</w:t>
      </w:r>
    </w:p>
    <w:p>
      <w:pPr>
        <w:ind w:left="780"/>
      </w:pPr>
      <w:r>
        <w:t xml:space="preserve">a) die natürliche Person oder die natürlichen Personen, die im Verantwortungsbereich eines Unternehmens durch dieses mit den Aufgaben nach diesem Gesetz betraut ist oder sind,</w:t>
      </w:r>
    </w:p>
    <w:p>
      <w:pPr>
        <w:ind w:left="780"/>
      </w:pPr>
      <w:r>
        <w:t xml:space="preserve">b) sofern eine Aufgabenübertragung nach Buchstabe a nicht erfolgt ist, die natürliche Person oder die natürlichen Personen, die für die Geschäftsführung zuständig ist oder sind, oder</w:t>
      </w:r>
    </w:p>
    <w:p>
      <w:pPr>
        <w:ind w:left="780"/>
      </w:pPr>
      <w:r>
        <w:t xml:space="preserve">c) sofern das Unternehmen von einer einzelnen natürlichen Person betrieben wird, diese selbst,</w:t>
      </w:r>
    </w:p>
    <w:p>
      <w:pPr>
        <w:ind w:left="420"/>
      </w:pPr>
      <w:r>
        <w:t xml:space="preserve">16. personenbezogene AngabeName und Vorname, Geschlecht, Geburtsdatum, Anschrift der Hauptwohnung oder des gewöhnlichen Aufenthaltsortes und, falls abweichend, Anschrift des derzeitigen Aufenthaltsortes der betroffenen Person sowie, soweit vorliegend, Telefonnummer und E-Mail-Adresse,</w:t>
      </w:r>
    </w:p>
    <w:p>
      <w:pPr>
        <w:ind w:left="420"/>
      </w:pPr>
      <w:r>
        <w:t xml:space="preserve">17. Risikogebietein Gebiet außerhalb der Bundesrepublik Deutschland, für das vom Bundesministerium für Gesundheit im Einvernehmen mit dem Auswärtigen Amt und dem Bundesministerium des Innern, für Bau und Heimat ein erhöhtes Risiko für eine Infektion mit einer bestimmten bedrohlichen übertragbaren Krankheit festgestellt wurde; die Einstufung als Risikogebiet erfolgt erst mit Ablauf des ersten Tages nach Veröffentlichung der Feststellung durch das Robert Koch-Institut im Internet unter der Adresse https://www.rki.de/risikogebiete.</w:t>
      </w:r>
    </w:p>
    <w:p>
      <w:r>
        <w:rPr>
          <w:color w:val="555555"/>
          <w:sz w:val="17"/>
        </w:rPr>
        <w:t xml:space="preserve">Zitiervorschlag: § 2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