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IfSG — Anpassung der Meldepflicht an die epidemische Lage</w:t>
      </w:r>
    </w:p>
    <w:p>
      <w:r>
        <w:rPr>
          <w:color w:val="555555"/>
          <w:sz w:val="18"/>
        </w:rPr>
        <w:t xml:space="preserve">Infektionsschutzgesetz</w:t>
      </w:r>
    </w:p>
    <w:p>
      <w:r>
        <w:rPr>
          <w:color w:val="555555"/>
          <w:sz w:val="18"/>
        </w:rPr>
        <w:t xml:space="preserve">Stand: 01.04.2021 (konsolidierte Textfassung, kein amtliches Inkrafttretensdatum)</w:t>
      </w:r>
    </w:p>
    <w:p>
      <w:r>
        <w:t xml:space="preserve">(1) Das Bundesministerium für Gesundheit wird ermächtigt, durch Rechtsverordnung mit Zustimmung des Bundesrates die Meldepflicht für die in § 6 aufgeführten Krankheiten oder die in § 7 aufgeführten Krankheitserreger aufzuheben, einzuschränken oder zu erweitern oder die Meldepflicht auf andere übertragbare Krankheiten oder Krankheitserreger auszudehnen, soweit die epidemische Lage dies zulässt oder erfordert. Wird die Meldepflicht nach Satz 1 auf andere übertragbare Krankheiten oder Krankheitserreger ausgedehnt, gelten die für meldepflichtige Krankheiten nach § 6 Absatz 1 Satz 1 Nummer 1 und meldepflichtige Nachweise von Krankheitserregern nach § 7 Absatz 1 Satz 1 geltenden Vorschriften für diese entsprechend. Das Bundesministerium für Gesundheit wird ermächtigt, durch Rechtsverordnung ohne Zustimmung des Bundesrates die Meldepflicht für feststellende Personen bei der Anwendung patientennaher Schnelltests bei Dritten aufzuheben.</w:t>
      </w:r>
    </w:p>
    <w:p>
      <w:r>
        <w:t xml:space="preserve">(2) In dringenden Fällen kann zum Schutz der Bevölkerung die Rechtsverordnung ohne Zustimmung des Bundesrates erlassen werden. Eine auf der Grundlage des Satzes 1 erlassene Verordnung tritt ein Jahr nach ihrem Inkrafttreten außer Kraft; ihre Geltungsdauer kann mit Zustimmung des Bundesrates verlängert werden.</w:t>
      </w:r>
    </w:p>
    <w:p>
      <w:r>
        <w:t xml:space="preserve">(3) Solange das Bundesministerium für Gesundheit von der Ermächtigung nach Absatz 1 Satz 1 keinen Gebrauch macht, sind die Landesregierungen zum Erlass einer Rechtsverordnung nach Absatz 1 Satz 1 ermächtigt, sofern die Meldepflicht nach diesem Gesetz hierdurch nicht eingeschränkt oder aufgehoben wird. Sie können die Ermächtigung durch Rechtsverordnung auf andere Stellen übertragen.</w:t>
      </w:r>
    </w:p>
    <w:p>
      <w:r>
        <w:rPr>
          <w:color w:val="555555"/>
          <w:sz w:val="17"/>
        </w:rPr>
        <w:t xml:space="preserve">Zitiervorschlag: § 15 IfSG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https://recht.nulegal.eu/gesetze/IfSG/15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