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IfSG — Übermittlungen und Mitteilungen auf Grund völker- und unionsrechtlicher Vorschriften</w:t>
      </w:r>
    </w:p>
    <w:p>
      <w:r>
        <w:rPr>
          <w:color w:val="555555"/>
          <w:sz w:val="18"/>
        </w:rPr>
        <w:t xml:space="preserve">Infektionsschutzgesetz</w:t>
      </w:r>
    </w:p>
    <w:p>
      <w:r>
        <w:rPr>
          <w:color w:val="555555"/>
          <w:sz w:val="18"/>
        </w:rPr>
        <w:t xml:space="preserve">Stand: 21.07.2023 (konsolidierte Textfassung, kein amtliches Inkrafttretensdatum)</w:t>
      </w:r>
    </w:p>
    <w:p>
      <w:r>
        <w:t xml:space="preserve">(1) Im Hinblick auf eine übertragbare Krankheit, die nach Anlage 2 der Internationalen Gesundheitsvorschriften (2005) vom 23. Mai 2005 (BGBl. 2007 II S. 930, 932) eine gesundheitliche Notlage von internationaler Tragweite im Sinne von Artikel 1 Absatz 1 der Internationalen Gesundheitsvorschriften (2005) darstellen könnte, übermittelt die zuständige Behörde der zuständigen Landesbehörde unverzüglich folgende Angaben:</w:t>
      </w:r>
    </w:p>
    <w:p>
      <w:pPr>
        <w:ind w:left="420"/>
      </w:pPr>
      <w:r>
        <w:t xml:space="preserve">1. das Auftreten der übertragbaren Krankheit, Tatsachen, die auf das Auftreten der übertragbaren Krankheit hinweisen, oder Tatsachen, die zum Auftreten der übertragbaren Krankheit führen können,</w:t>
      </w:r>
    </w:p>
    <w:p>
      <w:pPr>
        <w:ind w:left="420"/>
      </w:pPr>
      <w:r>
        <w:t xml:space="preserve">2. die getroffenen Maßnahmen und</w:t>
      </w:r>
    </w:p>
    <w:p>
      <w:pPr>
        <w:ind w:left="420"/>
      </w:pPr>
      <w:r>
        <w:t xml:space="preserve">3. sonstige Informationen, die für die Bewertung der Tatsachen und für die Verhütung und Bekämpfung der übertragbaren Krankheit von Bedeutung sind.</w:t>
      </w:r>
    </w:p>
    <w:p>
      <w:r>
        <w:t xml:space="preserve">Die zuständige Behörde darf im Rahmen dieser Vorschrift die folgenden personenbezogenen Daten übermitteln</w:t>
      </w:r>
    </w:p>
    <w:p>
      <w:pPr>
        <w:ind w:left="420"/>
      </w:pPr>
      <w:r>
        <w:t xml:space="preserve">1. zur betroffenen Person:</w:t>
      </w:r>
    </w:p>
    <w:p>
      <w:pPr>
        <w:ind w:left="780"/>
      </w:pPr>
      <w:r>
        <w:t xml:space="preserve">a) den Namen und Vornamen,</w:t>
      </w:r>
    </w:p>
    <w:p>
      <w:pPr>
        <w:ind w:left="780"/>
      </w:pPr>
      <w:r>
        <w:t xml:space="preserve">b) Tag der Geburt und</w:t>
      </w:r>
    </w:p>
    <w:p>
      <w:pPr>
        <w:ind w:left="780"/>
      </w:pPr>
      <w:r>
        <w:t xml:space="preserve">c) Anschrift der Hauptwohnung oder des gewöhnlichen Aufenthaltsortes und</w:t>
      </w:r>
    </w:p>
    <w:p>
      <w:pPr>
        <w:ind w:left="420"/>
      </w:pPr>
      <w:r>
        <w:t xml:space="preserve">2. den Namen des Meldenden.</w:t>
      </w:r>
    </w:p>
    <w:p>
      <w:r>
        <w:t xml:space="preserve">Die zuständige Landesbehörde übermittelt die in den Sätzen 1 und 2 genannten Angaben unverzüglich dem Robert Koch-Institut. Darüber hinaus übermittelt die zuständige Landesbehörde dem Robert Koch-Institut auf dessen Anforderung unverzüglich alle ihr vorliegenden Informationen, die für Mitteilungen an die Weltgesundheitsorganisation im Sinne der Artikel 6 bis 12 und 19 Buchstabe c der Internationalen Gesundheitsvorschriften (2005) erforderlich sind. Für die Übermittlungen von den zuständigen Landesbehörden an das Robert Koch-Institut kann das Robert Koch-Institut die technischen Übermittlungsstandards bestimmen. Das Robert Koch-Institut bewertet die ihm übermittelten Angaben nach der Anlage 2 der Internationalen Gesundheitsvorschriften (2005) und nimmt die Aufgaben nach § 4 Absatz 1 Nummer 1 des IGV-Durchführungsgesetzes wahr.</w:t>
      </w:r>
    </w:p>
    <w:p>
      <w:r>
        <w:t xml:space="preserve">(2) Im Hinblick auf Gefahren biologischen oder unbekannten Ursprungs nach Artikel 2 Absatz 1 Buchstabe a oder d der Verordnung (EU) 2022/2371 des Europäischen Parlaments und des Rates vom 23. November 2022 zu schwerwiegenden grenzüberschreitenden Gesundheitsgefahren und zur Aufhebung des Beschlusses Nr. 1082/2013/EU (ABl. L 314 vom 6.12.2022, S. 26) übermittelt die zuständige Behörde der zuständigen Landesbehörde unverzüglich alle Angaben, die für Übermittlungen nach den Artikeln 13, 14 und 17 bis 19 der Verordnung (EU) 2022/2371 erforderlich sind. Die zuständige Landesbehörde übermittelt diese Angaben unverzüglich dem Robert Koch-Institut. Für die Übermittlung an das Robert Koch-Institut kann das Robert Koch-Institut die technischen Übermittlungsstandards bestimmen. Das Robert Koch-Institut ist in dem in Satz 1 genannten Bereich der Gefahren biologischen oder unbekannten Ursprungs die zuständige nationale Behörde im Sinne der Artikel 13 und 18 bis 20 der Verordnung (EU) 2022/2371.</w:t>
      </w:r>
    </w:p>
    <w:p>
      <w:r>
        <w:t xml:space="preserve">(3) Abweichungen von den Regelungen des Verwaltungsverfahrens in Absatz 1 Satz 1 bis 5 und Absatz 2 Satz 1 bis 3 durch Landesrecht sind ausgeschlossen.</w:t>
      </w:r>
    </w:p>
    <w:p>
      <w:r>
        <w:rPr>
          <w:color w:val="555555"/>
          <w:sz w:val="17"/>
        </w:rPr>
        <w:t xml:space="preserve">Zitiervorschlag: § 12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