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IfSG — Übermittlung an die zuständige Landesbehörde und an das Robert Koch-Institut</w:t>
      </w:r>
    </w:p>
    <w:p>
      <w:r>
        <w:rPr>
          <w:color w:val="555555"/>
          <w:sz w:val="18"/>
        </w:rPr>
        <w:t xml:space="preserve">Infektionsschutzgesetz</w:t>
      </w:r>
    </w:p>
    <w:p>
      <w:r>
        <w:rPr>
          <w:color w:val="555555"/>
          <w:sz w:val="18"/>
        </w:rPr>
        <w:t xml:space="preserve">Stand: 21.07.2023 (konsolidierte Textfassung, kein amtliches Inkrafttretensdatum)</w:t>
      </w:r>
    </w:p>
    <w:p>
      <w:r>
        <w:t xml:space="preserve">(1) Die verarbeiteten Daten zu meldepflichtigen Krankheiten und Nachweisen von Krankheitserregern werden anhand der Falldefinitionen nach Absatz 2 bewertet und spätestens am folgenden Arbeitstag durch das nach Absatz 3 zuständige Gesundheitsamt vervollständigt, gegebenenfalls aus verschiedenen Meldungen zum selben Fall zusammengeführt und der zuständigen Landesbehörde sowie von dort spätestens am folgenden Arbeitstag dem Robert Koch-Institut mit folgenden Angaben übermittelt:</w:t>
      </w:r>
    </w:p>
    <w:p>
      <w:pPr>
        <w:ind w:left="420"/>
      </w:pPr>
      <w:r>
        <w:t xml:space="preserve">1. zur betroffenen Person:</w:t>
      </w:r>
    </w:p>
    <w:p>
      <w:pPr>
        <w:ind w:left="780"/>
      </w:pPr>
      <w:r>
        <w:t xml:space="preserve">a) Geschlecht,</w:t>
      </w:r>
    </w:p>
    <w:p>
      <w:pPr>
        <w:ind w:left="780"/>
      </w:pPr>
      <w:r>
        <w:t xml:space="preserve">b) Monat und Jahr der Geburt,</w:t>
      </w:r>
    </w:p>
    <w:p>
      <w:pPr>
        <w:ind w:left="780"/>
      </w:pPr>
      <w:r>
        <w:t xml:space="preserve">c) Tag der Verdachtsmeldung, Angabe, wenn sich ein Verdacht nicht bestätigt hat, Tag der Erkrankung, Tag der Diagnose, gegebenenfalls Tag des Todes und wahrscheinlicher Zeitpunkt oder Zeitraum der Infektion,</w:t>
      </w:r>
    </w:p>
    <w:p>
      <w:pPr>
        <w:ind w:left="780"/>
      </w:pPr>
      <w:r>
        <w:t xml:space="preserve">d) Untersuchungsbefund, einschließlich Typisierungsergebnissen,</w:t>
      </w:r>
    </w:p>
    <w:p>
      <w:pPr>
        <w:ind w:left="780"/>
      </w:pPr>
      <w:r>
        <w:t xml:space="preserve">e) wahrscheinlicher Infektionsweg, einschließlich Umfeld, in dem die Übertragung wahrscheinlich stattgefunden hat; wahrscheinliches Infektionsrisiko, Impf- und Serostatus und erkennbare Zugehörigkeit zu einer Erkrankungshäufung,</w:t>
      </w:r>
    </w:p>
    <w:p>
      <w:pPr>
        <w:ind w:left="780"/>
      </w:pPr>
      <w:r>
        <w:t xml:space="preserve">f) gegebenenfalls Informationen zur Art der Einrichtung bei Tätigkeit, Betreuung oder Unterbringung in Einrichtungen und Unternehmen nach § 23 Absatz 3 Satz 1, Absatz 5 Satz 1 oder § 35 Absatz 1 Satz 1 oder § 36 Absatz 1 oder Absatz 2,</w:t>
      </w:r>
    </w:p>
    <w:p>
      <w:pPr>
        <w:ind w:left="780"/>
      </w:pPr>
      <w:r>
        <w:t xml:space="preserve">g) in Deutschland: Gemeinde mit zugehörigem amtlichem achtstelligem Gemeindeschlüssel, in der die Infektion wahrscheinlich erfolgt ist, ansonsten Staat, in dem die Infektion wahrscheinlich erfolgt ist,</w:t>
      </w:r>
    </w:p>
    <w:p>
      <w:pPr>
        <w:ind w:left="780"/>
      </w:pPr>
      <w:r>
        <w:t xml:space="preserve">h) bei reiseassoziierter Legionellose: Name und Anschrift der Unterkunft,</w:t>
      </w:r>
    </w:p>
    <w:p>
      <w:pPr>
        <w:ind w:left="780"/>
      </w:pPr>
      <w:r>
        <w:t xml:space="preserve">i) bei Tuberkulose, Hepatitis B und Hepatitis C: Geburtsstaat, Staatsangehörigkeit und gegebenenfalls Jahr der Einreise nach Deutschland,</w:t>
      </w:r>
    </w:p>
    <w:p>
      <w:pPr>
        <w:ind w:left="780"/>
      </w:pPr>
      <w:r>
        <w:t xml:space="preserve">j) bei Coronavirus-Krankheit-2019 (COVID-19): durchgeführte Maßnahmen nach dem 5. Abschnitt; gegebenenfalls Behandlungsergebnis und Angaben zur Anzahl der Kontaktpersonen, und jeweils zu diesen Angaben zu Monat und Jahr der Geburt, Geschlecht, zuständigem Gesundheitsamt, Beginn und Ende der Absonderung und darüber, ob bei diesen eine Infektion nachgewiesen wurde,</w:t>
      </w:r>
    </w:p>
    <w:p>
      <w:pPr>
        <w:ind w:left="780"/>
      </w:pPr>
      <w:r>
        <w:t xml:space="preserve">k) Überweisung, Aufnahme und Entlassung aus einer Einrichtung nach § 23 Absatz 5 Satz 1, gegebenenfalls intensivmedizinische Behandlung und deren Dauer,</w:t>
      </w:r>
    </w:p>
    <w:p>
      <w:pPr>
        <w:ind w:left="780"/>
      </w:pPr>
      <w:r>
        <w:t xml:space="preserve">l) Zugehörigkeit zu den in § 54a Absatz 1 Nummer 1 bis 5 genannten Personengruppen,</w:t>
      </w:r>
    </w:p>
    <w:p>
      <w:pPr>
        <w:ind w:left="780"/>
      </w:pPr>
      <w:r>
        <w:t xml:space="preserve">m) Gemeinde mit zugehörigem amtlichem achtstelligem Gemeindeschlüssel der Hauptwohnung oder des gewöhnlichen Aufenthaltsortes und, falls abweichend, des derzeitigen Aufenthaltsortes,</w:t>
      </w:r>
    </w:p>
    <w:p>
      <w:pPr>
        <w:ind w:left="780"/>
      </w:pPr>
      <w:r>
        <w:t xml:space="preserve">n) bei Plasmodium spp.: Angaben zu einer zum wahrscheinlichen Zeitpunkt der Infektion erfolgten Maßnahme der spezifischen Prophylaxe,</w:t>
      </w:r>
    </w:p>
    <w:p>
      <w:pPr>
        <w:ind w:left="420"/>
      </w:pPr>
      <w:r>
        <w:t xml:space="preserve">2. zuständige Gesundheitsämter oder zuständige Stellen nach § 54a und</w:t>
      </w:r>
    </w:p>
    <w:p>
      <w:pPr>
        <w:ind w:left="420"/>
      </w:pPr>
      <w:r>
        <w:t xml:space="preserve">3. Datum der Meldung.</w:t>
      </w:r>
    </w:p>
    <w:p>
      <w:r>
        <w:t xml:space="preserve">In den Fällen der Meldung nach § 6 Absatz 3 Satz 1 sind nur die Angaben nach Satz 1 Nummer 2 und 3 sowie zu den aufgetretenen nosokomialen Infektionen und den damit zusammenhängenden Kolonisationen jeweils nur die Angaben nach Satz 1 Nummer 1 Buchstabe a bis e erforderlich. Für die Übermittlungen von den zuständigen Landesbehörden an das Robert Koch-Institut bestimmt das Robert Koch-Institut die technischen Übermittlungsstandards. Frühere Übermittlungen sind gegebenenfalls zu berichtigen und zu ergänzen, insoweit gelten die Sätze 1 bis 3 entsprechend.</w:t>
      </w:r>
    </w:p>
    <w:p>
      <w:r>
        <w:t xml:space="preserve">(2) Das Robert Koch-Institut erstellt entsprechend den jeweiligen epidemiologischen Erfordernissen die Falldefinitionen für die Bewertung von Verdachts-, Erkrankungs- oder Todesfällen und Nachweisen von Krankheitserregern und schreibt sie fort.</w:t>
      </w:r>
    </w:p>
    <w:p>
      <w:r>
        <w:t xml:space="preserve">(3) Für die Vervollständigung, Zusammenführung und Übermittlung der Daten nach Absatz 1 ist das Gesundheitsamt zuständig, in dessen Bezirk die betroffene Person ihre Hauptwohnung hat oder zuletzt hatte. Falls ein Hauptwohnsitz nicht feststellbar ist oder die betroffene Person sich dort gewöhnlich nicht aufhält, so ist das Gesundheitsamt zuständig, in dessen Bezirk sich die betroffene Person gewöhnlich aufhält. Falls ein solcher Aufenthaltsort nicht feststellbar ist oder in den Fällen der Meldung nach § 6 Absatz 3 Satz 1 ist das Gesundheitsamt zuständig, welches die Daten erstmals verarbeitet hat. Das nach den Sätzen 1 bis 3 zuständige Gesundheitsamt kann diese Zuständigkeit an ein anderes Gesundheitsamt mit dessen Zustimmung abgeben, insbesondere wenn schwerpunktmäßig im Zuständigkeitsbereich des anderen Gesundheitsamtes weitere Ermittlungen nach § 25 Absatz 1 angestellt werden müssen.</w:t>
      </w:r>
    </w:p>
    <w:p>
      <w:r>
        <w:t xml:space="preserve">(4) Einen nach § 6 Absatz 1 Satz 1 Nummer 3 gemeldeten Verdacht einer über das übliche Ausmaß einer Impfreaktion hinausgehenden gesundheitlichen Schädigung übermittelt das Gesundheitsamt unverzüglich der zuständigen Landesbehörde. Das Gesundheitsamt übermittelt alle notwendigen Angaben, sofern es diese Angaben ermitteln kann, wie Bezeichnung des Produktes, Name oder Firma des pharmazeutischen Unternehmers, die Chargenbezeichnung, den Zeitpunkt der Impfung und den Beginn der Erkrankung. Über die betroffene Person sind ausschließlich das Geburtsdatum, das Geschlecht sowie der erste Buchstabe des ersten Vornamens und der erste Buchstabe des ersten Nachnamens anzugeben. Die zuständige Behörde übermittelt die Angaben unverzüglich dem Paul-Ehrlich-Institut. Die personenbezogenen Daten sind zu pseudonymisieren.</w:t>
      </w:r>
    </w:p>
    <w:p>
      <w:r>
        <w:rPr>
          <w:color w:val="555555"/>
          <w:sz w:val="17"/>
        </w:rPr>
        <w:t xml:space="preserve">Zitiervorschlag: § 11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