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IfSBG (Brandenburg) — Geschäftsordnung des Landtages</w:t>
      </w:r>
    </w:p>
    <w:p>
      <w:r>
        <w:rPr>
          <w:color w:val="555555"/>
          <w:sz w:val="18"/>
        </w:rPr>
        <w:t xml:space="preserve">Infektionsschutzbeteiligungsgesetz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Nähere zu den §§ 3 und 4 regelt die Geschäftsordnung des Landtages.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5 IfSBG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https://recht.nulegal.eu/gesetze/IfSBG/5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