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IfSBG (Brandenburg) — Geltungsdauer und Widerspruch</w:t>
      </w:r>
    </w:p>
    <w:p>
      <w:r>
        <w:rPr>
          <w:color w:val="555555"/>
          <w:sz w:val="18"/>
        </w:rPr>
        <w:t xml:space="preserve">Infektionsschutzbeteiligungsgesetz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Geltungsdauer der Rechtsverordnung in ihrer zuletzt geänderten Fassung richtet sich nach dem Gesetz zur Verhütung und Bekämpfung von Infektionskrankheiten beim Menschen (Infektionsschutzgesetz) in seiner jeweils geltenden Fassung.</w:t>
      </w:r>
    </w:p>
    <w:p>
      <w:r>
        <w:t xml:space="preserve">(2) Der Landtag kann einer Rechtsverordnung nach § 2 innerhalb von sieben Tagen nach deren Verkündung mit der Mehrheit seiner Mitglieder widersprechen.</w:t>
      </w:r>
    </w:p>
    <w:p>
      <w:r>
        <w:t xml:space="preserve">(3) Widerspricht der Landtag einer Verordnung, hat der Verordnungsgeber die Rechtsverordnung nach § 2 spätestens sieben Tage nach Beschlussfassung aufzuheben.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IfSBG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