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IfSBG (Brandenburg) — Anwendungsbereich</w:t>
      </w:r>
    </w:p>
    <w:p>
      <w:r>
        <w:rPr>
          <w:color w:val="555555"/>
          <w:sz w:val="18"/>
        </w:rPr>
        <w:t xml:space="preserve">Infektionsschutzbeteiligungsgesetz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findet Anwendung auf Verordnungen, die aufgrund des § 32 des Infektionsschutzgesetzes in Verbindung mit § 2 der Verordnung zur Regelung von Zuständigkeiten und zur Ermächtigung zum Erlass von Rechtsverordnungen nach dem Infektionsschutzgesetz zur Verhinderung der Verbreitung des Coronavirus SARS-CoV-2 erlassen werden. Gleiches gilt für die Änderung, Verlängerung oder Aufhebung dieser Verordnungen.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IfSBG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