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IZÜV — Besondere Pflichten des Inhabers einer Erlaubnis oder einer Genehmigung</w:t>
      </w:r>
    </w:p>
    <w:p>
      <w:r>
        <w:rPr>
          <w:color w:val="555555"/>
          <w:sz w:val="18"/>
        </w:rPr>
        <w:t xml:space="preserve">Industriekläranlagen-Zulassungs- und Überwachungsverordnung</w:t>
      </w:r>
    </w:p>
    <w:p>
      <w:r>
        <w:rPr>
          <w:color w:val="555555"/>
          <w:sz w:val="18"/>
        </w:rPr>
        <w:t xml:space="preserve">Stand: 16.12.2020 (konsolidierte Textfassung, kein amtliches Inkrafttretensdatum)</w:t>
      </w:r>
    </w:p>
    <w:p>
      <w:r>
        <w:t xml:space="preserve">(1) Hat der Inhaber einer Erlaubnis oder einer Genehmigung nach § 1 Absatz 1 Satz 1 Inhalts- und Nebenbestimmungen nicht eingehalten oder tritt bei einer Gewässerbenutzung ein Ereignis mit erheblichen Auswirkungen auf ein Gewässer oder bei einer Anlage nach § 60 Absatz 3 Satz 1 Nummer 2 oder Nummer 3 des Wasserhaushaltsgesetzes ein Ereignis mit erheblichen Umweltauswirkungen ein, so hat er</w:t>
      </w:r>
    </w:p>
    <w:p>
      <w:pPr>
        <w:ind w:left="420"/>
      </w:pPr>
      <w:r>
        <w:t xml:space="preserve">1. die zuständige Behörde unverzüglich zu unterrichten,</w:t>
      </w:r>
    </w:p>
    <w:p>
      <w:pPr>
        <w:ind w:left="420"/>
      </w:pPr>
      <w:r>
        <w:t xml:space="preserve">2. die Maßnahmen zur Einhaltung der Inhalts- und Nebenbestimmungen, die Maßnahmen zur Begrenzung der genannten Auswirkungen sowie die Maßnahmen zur Vermeidung weiterer möglicher Ereignisse unverzüglich zu ergreifen sowie</w:t>
      </w:r>
    </w:p>
    <w:p>
      <w:pPr>
        <w:ind w:left="420"/>
      </w:pPr>
      <w:r>
        <w:t xml:space="preserve">3. weitere von der zuständigen Behörde angeordnete Maßnahmen zu ergreifen, die zur Einhaltung der Inhalts- und Nebenbestimmungen, zur Begrenzung der Umweltauswirkungen sowie zur Vermeidung weiterer möglicher Ereignisse erforderlich sind.</w:t>
      </w:r>
    </w:p>
    <w:p>
      <w:r>
        <w:t xml:space="preserve">(2) Der Inhaber einer Erlaubnis oder einer Genehmigung nach § 1 Absatz 1 Satz 1 hat nach Maßgabe der Inhalts- und Nebenbestimmungen der Erlaubnis oder Genehmigung oder auf Grund von Rechtsverordnungen der zuständigen Behörde jährlich Folgendes vorzulegen:</w:t>
      </w:r>
    </w:p>
    <w:p>
      <w:pPr>
        <w:ind w:left="420"/>
      </w:pPr>
      <w:r>
        <w:t xml:space="preserve">1. eine Zusammenfassung der Ergebnisse der Emissionsüberwachung,</w:t>
      </w:r>
    </w:p>
    <w:p>
      <w:pPr>
        <w:ind w:left="420"/>
      </w:pPr>
      <w:r>
        <w:t xml:space="preserve">2. sonstige Daten, die erforderlich sind, um die Einhaltung der Einleitungs- oder Genehmigungsanforderungen zu prüfen.</w:t>
      </w:r>
    </w:p>
    <w:p>
      <w:r>
        <w:t xml:space="preserve">Die Pflicht nach Satz 1 besteht nicht, soweit die erforderlichen Angaben der zuständigen Behörde bereits auf Grund anderer Vorschriften vorzulegen sind. Wird in der Abwasserverordnung in ihrer am 28. Februar 2010 geltenden Fassung, einer Rechtsverordnung nach § 23 des Wasserhaushaltsgesetzes oder in einer Inhalts- oder Nebenbestimmung ein Emissionsgrenzwert oberhalb der in den BVT-Schlussfolgerungen genannten Emissionsbandbreiten bestimmt, so hat die Zusammenfassung nach Satz 1 Nummer 1 einen Vergleich mit den in den BVT-Schlussfolgerungen genannten Emissionsbandbreiten zu ermöglichen.</w:t>
      </w:r>
    </w:p>
    <w:p>
      <w:r>
        <w:t xml:space="preserve">(3) Der Inhaber einer Erlaubnis oder Genehmigung nach § 1 Absatz 1 Satz 1 kann von der zuständigen Behörde verpflichtet werden, diejenigen Daten zu übermitteln, deren Übermittlung nach einem Durchführungsakt nach Artikel 72 Absatz 2 der Richtlinie 2010/75/EU vorgeschrieben ist und die zur Erfüllung der Berichtspflicht nach § 10 erforderlich sind, soweit solche Daten nicht bereits auf Grund anderer Vorschriften bei der zuständigen Behörde vorhanden sind. § 3 Absatz 1 Satz 2 und § 5 Absatz 2 bis 6 des Gesetzes zur Ausführung des Protokolls über Schadstofffreisetzungs- und -verbringungsregister vom 21. Mai 2003 sowie zur Durchführung der Verordnung (EG) Nr. 166/2006 vom 6. Juni 2007 (BGBl. I S. 1002), das durch Artikel 1 des Gesetzes vom 9. Dezember 2020 (BGBl. I S. 2873) geändert worden ist, gelten entsprechend.</w:t>
      </w:r>
    </w:p>
    <w:p>
      <w:r>
        <w:rPr>
          <w:color w:val="555555"/>
          <w:sz w:val="17"/>
        </w:rPr>
        <w:t xml:space="preserve">Zitiervorschlag: § 7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