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IZÜV — Mess- und Überwachungsanforderungen</w:t>
      </w:r>
    </w:p>
    <w:p>
      <w:r>
        <w:rPr>
          <w:color w:val="555555"/>
          <w:sz w:val="18"/>
        </w:rPr>
        <w:t xml:space="preserve">Industriekläranlagen-Zulassungs- und Überwachungsverordnung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zuständige Behörde legt in der Erlaubnis für das Einleiten von Abwasser in Gewässer oder in der Genehmigung für das Einleiten von Abwasser in Abwasseranlagen die Probenahme- oder Messstellen fest und bestimmt soweit erforderlich die in den Absätzen 2 bis 4 festgelegten Mess- und Überwachungsanforderungen näher.</w:t>
      </w:r>
    </w:p>
    <w:p>
      <w:r>
        <w:t xml:space="preserve">(2) Der Einleiter hat zur Überwachung der Emissionsanforderungen mindestens folgende Maßnahmen durchzuführen:</w:t>
      </w:r>
    </w:p>
    <w:p>
      <w:pPr>
        <w:ind w:left="420"/>
      </w:pPr>
      <w:r>
        <w:t xml:space="preserve">1. spätestens bis zum Beginn der Einleitung oder bis zur Inbetriebnahme der Anlage die geeigneten Messgeräte einzubauen und die hierzu geeigneten Verfahren anzuwenden,</w:t>
      </w:r>
    </w:p>
    <w:p>
      <w:pPr>
        <w:ind w:left="420"/>
      </w:pPr>
      <w:r>
        <w:t xml:space="preserve">2. den ordnungsgemäßen Einbau und das Funktionieren der Geräte zu kontrollieren, soweit Geräte für die automatische Überwachung der Emissionen in das Wasser eingesetzt werden,</w:t>
      </w:r>
    </w:p>
    <w:p>
      <w:pPr>
        <w:ind w:left="420"/>
      </w:pPr>
      <w:r>
        <w:t xml:space="preserve">3. einmal jährlich durch Parallelmessungen unter Verwendung der Referenzmethoden einen Überwachungstest und eine Kalibrierung durchzuführen.</w:t>
      </w:r>
    </w:p>
    <w:p>
      <w:r>
        <w:t xml:space="preserve">(3) Der Einleiter hat am Ort der Abwassereinleitung in das Gewässer, der Einleitung in die Abwasseranlage oder vor der Vermischung des Abwassers mit anderem Abwasser mindestens folgende Messungen vorzunehmen:</w:t>
      </w:r>
    </w:p>
    <w:p>
      <w:pPr>
        <w:ind w:left="420"/>
      </w:pPr>
      <w:r>
        <w:t xml:space="preserve">1. kontinuierliche Messung der in § 13 genannten Parameter;</w:t>
      </w:r>
    </w:p>
    <w:p>
      <w:pPr>
        <w:ind w:left="420"/>
      </w:pPr>
      <w:r>
        <w:t xml:space="preserve">2. tägliche Messung der Gesamtmenge an suspendierten Feststoffen mittels qualifizierter Stichprobe oder durchflussproportionaler repräsentativer Probenahme über eine Dauer von 24 Stunden;</w:t>
      </w:r>
    </w:p>
    <w:p>
      <w:pPr>
        <w:ind w:left="420"/>
      </w:pPr>
      <w:r>
        <w:t xml:space="preserve">3. mindestens monatliche Messung der in Anhang 33 Teil D Absatz 1 der Abwasserverordnung aufgeführten Parameter mit Ausnahme der Dioxine und Furane mittels einer durchflussproportionalen repräsentativen Probenahme über eine Dauer von 24 Stunden;</w:t>
      </w:r>
    </w:p>
    <w:p>
      <w:pPr>
        <w:ind w:left="420"/>
      </w:pPr>
      <w:r>
        <w:t xml:space="preserve">4. während der ersten zwölf Betriebsmonate mindestens dreimonatliche, danach mindestens halbjährliche Messung der Dioxine und Furane; die zuständige Behörde kann Messperioden festsetzen, wenn Emissionsanforderungen für polyzyklische aromatische Kohlenwasserstoffe oder andere Parameter festgelegt sind.</w:t>
      </w:r>
    </w:p>
    <w:p>
      <w:r>
        <w:t xml:space="preserve">(4) Der Einleiter hat die Messungen unter Beachtung der in der Abwasserverordnung festgelegten Probenahme- und Analyseverfahren durchzuführen. Er hat die Messergebnisse unverzüglich nach der Messung aufzuzeichnen, zu verarbeiten und darzustellen, um den zuständigen Behörden die Überprüfung der Einhaltung der wasserrechtlichen Zulassung zu ermöglichen.</w:t>
      </w:r>
    </w:p>
    <w:p>
      <w:r>
        <w:rPr>
          <w:color w:val="555555"/>
          <w:sz w:val="17"/>
        </w:rPr>
        <w:t xml:space="preserve">Zitiervorschlag: § 14 IZÜV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https://recht.nulegal.eu/gesetze/IZ%C3%9CV/14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