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IZÜV — Berechnung der Frachten bei Vermischung</w:t>
      </w:r>
    </w:p>
    <w:p>
      <w:r>
        <w:rPr>
          <w:color w:val="555555"/>
          <w:sz w:val="18"/>
        </w:rPr>
        <w:t xml:space="preserve">Industriekläranlagen-Zulassungs- und Überwachungsverordnung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Fall der Vermischung des Abwassers im Sinne von § 11 mit Abwasser aus anderen Herkunftsbereichen der Abwasserverordnung hat der Betreiber der Abfallverbrennungsanlage die Frachten für die im Anhang 33 Teil D Absatz 1 und 2 der Abwasserverordnung genannten Stoffe zu berechnen. Auf der Grundlage dieser Berechnung legt die zuständige Behörde die Anforderungen nach dem Stand der Technik fest. Weitergehende Anforderungen nach anderen Rechtsvorschriften bleiben unberührt.</w:t>
      </w:r>
    </w:p>
    <w:p>
      <w:r>
        <w:rPr>
          <w:color w:val="555555"/>
          <w:sz w:val="17"/>
        </w:rPr>
        <w:t xml:space="preserve">Zitiervorschlag: § 12 IZÜV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https://recht.nulegal.eu/gesetze/IZ%C3%9CV/12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