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IZÜV — Anwendungsbereich und Begriffsbestimmungen</w:t>
      </w:r>
    </w:p>
    <w:p>
      <w:r>
        <w:rPr>
          <w:color w:val="555555"/>
          <w:sz w:val="18"/>
        </w:rPr>
        <w:t xml:space="preserve">Industriekläranlagen-Zulassungs- und 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gilt, soweit nicht anders bestimmt,</w:t>
      </w:r>
    </w:p>
    <w:p>
      <w:pPr>
        <w:ind w:left="420"/>
      </w:pPr>
      <w:r>
        <w:t xml:space="preserve">1. für die Erteilung von Erlaubnissen für Gewässerbenutzungen im Sinne von Absatz 2, die zu Industrieanlagen im Sinne von Absatz 3 gehören,</w:t>
      </w:r>
    </w:p>
    <w:p>
      <w:pPr>
        <w:ind w:left="420"/>
      </w:pPr>
      <w:r>
        <w:t xml:space="preserve">2. für die Erteilung von Genehmigungen für Anlagen nach § 60 Absatz 3 Satz 1 Nummer 2 und 3 des Wasserhaushaltsgesetzes.</w:t>
      </w:r>
    </w:p>
    <w:p>
      <w:r>
        <w:t xml:space="preserve">Die §§ 8, 9 und 10 gelten auch für Indirekteinleitungen nach § 58 und § 59 des Wasserhaushaltsgesetzes, die aus Anlagen nach § 3 der Verordnung über genehmigungsbedürftige Anlagen stammen, die entweder</w:t>
      </w:r>
    </w:p>
    <w:p>
      <w:pPr>
        <w:ind w:left="420"/>
      </w:pPr>
      <w:r>
        <w:t xml:space="preserve">1. nicht nach den Vorschriften des Bundes-Immissionsschutzgesetzes genehmigt worden sind,</w:t>
      </w:r>
    </w:p>
    <w:p>
      <w:pPr>
        <w:ind w:left="420"/>
      </w:pPr>
      <w:r>
        <w:t xml:space="preserve">2. nicht nach den Vorschriften des Bundes-Immissionsschutzgesetzes überwacht werden oder</w:t>
      </w:r>
    </w:p>
    <w:p>
      <w:pPr>
        <w:ind w:left="420"/>
      </w:pPr>
      <w:r>
        <w:t xml:space="preserve">3. vor dem 1. März 2010 keiner Indirekteinleitergenehmigung bedurften.</w:t>
      </w:r>
    </w:p>
    <w:p>
      <w:r>
        <w:t xml:space="preserve">Die §§ 8, 9 und 10 gelten darüber hinaus auch für Indirekteinleitungen nach den §§ 58 und 59 des Wasserhaushaltsgesetzes, die aus Deponien im Sinne von § 3 Absatz 27 des Kreislaufwirtschaftsgesetzes mit einer Aufnahmekapazität von mindestens 10 Tonnen pro Tag oder mit einer Gesamtkapazität von mindestens 25 000 Tonnen, ausgenommen Deponien für Inertabfälle, stammen, sofern</w:t>
      </w:r>
    </w:p>
    <w:p>
      <w:pPr>
        <w:ind w:left="420"/>
      </w:pPr>
      <w:r>
        <w:t xml:space="preserve">1. die Zulassung der Deponie sich nicht auf die Indirekteinleitung erstreckt oder</w:t>
      </w:r>
    </w:p>
    <w:p>
      <w:pPr>
        <w:ind w:left="420"/>
      </w:pPr>
      <w:r>
        <w:t xml:space="preserve">2. es vor dem 1. März 2010 keiner Indirekteinleitergenehmigung bedurfte.</w:t>
      </w:r>
    </w:p>
    <w:p>
      <w:r>
        <w:t xml:space="preserve">(2) Gewässerbenutzungen im Sinne dieser Verordnung sind Gewässerbenutzungen im Sinne von § 9 Absatz 1 Nummer 4 und Absatz 2 Nummer 2 des Wasserhaushaltsgesetzes.</w:t>
      </w:r>
    </w:p>
    <w:p>
      <w:r>
        <w:t xml:space="preserve">(3) Industrieanlagen im Sinne dieser Verordnung sind Anlagen nach § 60 Absatz 3 Satz 1 Nummer 2 und 3 des Wasserhaushaltsgesetzes sowie Anlagen nach § 3 der Verordnung über genehmigungsbedürftige Anlagen.</w:t>
      </w:r>
    </w:p>
    <w:p>
      <w:r>
        <w:rPr>
          <w:color w:val="555555"/>
          <w:sz w:val="17"/>
        </w:rPr>
        <w:t xml:space="preserve">Zitiervorschlag: § 1 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https://recht.nulegal.eu/gesetze/IZ%C3%9CV/1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