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 IWG — Praktische Vorkehrungen</w:t>
      </w:r>
    </w:p>
    <w:p>
      <w:r>
        <w:rPr>
          <w:color w:val="555555"/>
          <w:sz w:val="18"/>
        </w:rPr>
        <w:t xml:space="preserve">Informationsweiterverwendungsgesetz</w:t>
      </w:r>
    </w:p>
    <w:p>
      <w:r>
        <w:rPr>
          <w:color w:val="555555"/>
          <w:sz w:val="18"/>
        </w:rPr>
        <w:t xml:space="preserve">Historische Fassung: Stand 10.06.2019 bis 23.07.2021. Dies ist nicht die aktuelle Fassung.</w:t>
      </w:r>
    </w:p>
    <w:p>
      <w:r>
        <w:t xml:space="preserve">Soweit Informationen mit Metadaten versehene Daten im Sinne des § 12 Absatz 1 des E-Government-Gesetzes sind und über öffentlich zugängliche Netze in maschinenlesbaren Formaten bereitgestellt wurden, sollen die Metadaten auf einem nationalen Datenportal zur Verfügung gestellt werden.</w:t>
      </w:r>
    </w:p>
    <w:p>
      <w:r>
        <w:rPr>
          <w:color w:val="555555"/>
          <w:sz w:val="17"/>
        </w:rPr>
        <w:t xml:space="preserve">Zitiervorschlag: § 8 IWG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https://recht.nulegal.eu/gesetze/IWG/8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