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IWG — Transparenz</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(1) Wurden für die Weiterverwendung Standardentgelte festgelegt, sind die entsprechenden Bedingungen und ist die tatsächliche Höhe dieser Entgelte einschließlich der Berechnungsgrundlage zu veröffentlichen. Die Veröffentlichung soll über öffentlich zugängliche Netze erfolgen.</w:t>
      </w:r>
    </w:p>
    <w:p>
      <w:r>
        <w:t xml:space="preserve">(2) Wurden für die Weiterverwendung keine Standardentgelte festgelegt, geben die öffentlichen Stellen im Voraus an, welche Faktoren bei der Berechnung berücksichtigt werden. Auf Anfrage gibt die betreffende öffentliche Stelle auch die Berechnungsweise dieser Entgelte in Bezug auf den spezifischen Antrag auf Weiterverwendung an.</w:t>
      </w:r>
    </w:p>
    <w:p>
      <w:r>
        <w:t xml:space="preserve">(3) Die in § 5 Absatz 2 Nummer 2 genannten Anforderungen werden im Voraus festgelegt. Soweit möglich, werden sie über öffentlich zugängliche Netze veröffentlicht.</w:t>
      </w:r>
    </w:p>
    <w:p>
      <w:r>
        <w:rPr>
          <w:color w:val="555555"/>
          <w:sz w:val="17"/>
        </w:rPr>
        <w:t xml:space="preserve">Zitiervorschlag: § 6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