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 IWG — Nutzungsbestimmungen</w:t>
      </w:r>
    </w:p>
    <w:p>
      <w:r>
        <w:rPr>
          <w:color w:val="555555"/>
          <w:sz w:val="18"/>
        </w:rPr>
        <w:t xml:space="preserve">Informationsweiterverwendungsgesetz</w:t>
      </w:r>
    </w:p>
    <w:p>
      <w:r>
        <w:rPr>
          <w:color w:val="555555"/>
          <w:sz w:val="18"/>
        </w:rPr>
        <w:t xml:space="preserve">Historische Fassung: Stand 10.06.2019 bis 23.07.2021. Dies ist nicht die aktuelle Fassung.</w:t>
      </w:r>
    </w:p>
    <w:p>
      <w:r>
        <w:t xml:space="preserve">(1) Die öffentliche Stelle kann für die Weiterverwendung Nutzungsbestimmungen vorsehen. Die Nutzungsbestimmungen müssen verhältnismäßig sein, dürfen nicht zu einer Wettbewerbsverzerrung führen und die Möglichkeiten der Weiterverwendung nicht unnötig einschränken. Die Gleichbehandlung der Nutzer ist zu gewährleisten.</w:t>
      </w:r>
    </w:p>
    <w:p>
      <w:r>
        <w:t xml:space="preserve">(2) Nutzungsbestimmungen für die Weiterverwendung, die allgemein Anwendung finden sollen, sind im Voraus festzulegen und, soweit dies technisch möglich und sinnvoll ist, über öffentlich zugängliche Netze zu veröffentlichen.</w:t>
      </w:r>
    </w:p>
    <w:p>
      <w:r>
        <w:t xml:space="preserve">(3) Ist eine Weiterverwendung von Informationen beabsichtigt, auf die dieses Gesetz nach § 1 Absatz 2 Nummer 4 keine Anwendung findet, benennt die öffentliche Stelle den Rechtsinhaber, wenn er ihr bekannt und seine Nennung zulässig ist. Satz 1 gilt nicht für Bibliotheken, einschließlich Hochschulbibliotheken, Museen und Archive.</w:t>
      </w:r>
    </w:p>
    <w:p>
      <w:r>
        <w:t xml:space="preserve">(4) Die Verpflichtungen aus den Absätzen 1, 2 und 3 gelten nicht für die in § 1 Absatz 2 Nummer 5 bis 7 genannten öffentlichen Stellen.</w:t>
      </w:r>
    </w:p>
    <w:p>
      <w:r>
        <w:rPr>
          <w:color w:val="555555"/>
          <w:sz w:val="17"/>
        </w:rPr>
        <w:t xml:space="preserve">Zitiervorschlag: § 4 IWG</w:t>
      </w:r>
    </w:p>
    <w:p>
      <w:r>
        <w:rPr>
          <w:color w:val="555555"/>
          <w:sz w:val="17"/>
        </w:rPr>
        <w:t xml:space="preserve">Quelle: Bundesamt für Justiz (Archivstand),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https://recht.nulegal.eu/gesetze/IWG/4</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