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IWG — Verbot von Ausschließlichkeitsvereinbarungen</w:t>
      </w:r>
    </w:p>
    <w:p>
      <w:r>
        <w:rPr>
          <w:color w:val="555555"/>
          <w:sz w:val="18"/>
        </w:rPr>
        <w:t xml:space="preserve">Informationsweiterverwendungsgesetz</w:t>
      </w:r>
    </w:p>
    <w:p>
      <w:r>
        <w:rPr>
          <w:color w:val="555555"/>
          <w:sz w:val="18"/>
        </w:rPr>
        <w:t xml:space="preserve">Historische Fassung: Stand 10.06.2019 bis 23.07.2021. Dies ist nicht die aktuelle Fassung.</w:t>
      </w:r>
    </w:p>
    <w:p>
      <w:r>
        <w:t xml:space="preserve">(1) Regelungen über die Weiterverwendung von Informationen öffentlicher Stellen dürfen keine ausschließlichen Rechte gewähren. Dies gilt nicht, wenn zur Bereitstellung eines Dienstes im öffentlichen Interesse ein ausschließliches Recht über die Weiterverwendung von Informationen erforderlich ist. Die Begründung eines solchen Rechts muss regelmäßig, mindestens alle drei Jahre, überprüft werden. Nach dem 31. Dezember 2003 getroffene Regelungen über ausschließliche Rechte müssen klar und eindeutig sein sowie öffentlich bekannt gemacht werden. Bestehende ausschließliche Rechte, die nicht unter Satz 2 fallen, erlöschen mit Ablauf der Regelung, spätestens jedoch am 31. Dezember 2008.</w:t>
      </w:r>
    </w:p>
    <w:p>
      <w:r>
        <w:t xml:space="preserve">(2) Am 17. Juli 2013 bestehende Ausschließlichkeitsvereinbarungen enden bei Vertragsablauf, spätestens jedoch am 18. Juli 2043. Dies gilt nicht für Regelungen im öffentlichen Interesse oder zur Digitalisierung von Kulturbeständen.</w:t>
      </w:r>
    </w:p>
    <w:p>
      <w:r>
        <w:t xml:space="preserve">(3) Bezieht sich ein ausschließliches Recht auf die Digitalisierung von Kulturbeständen, soll es für höchstens zehn Jahre gewährt werden. Wird es für mehr als zehn Jahre gewährt, ist die vereinbarte Gewährungsdauer im elften Jahr und danach alle sieben Jahre zu überprüfen. Die Ausschließlichkeitsvereinbarungen müssen transparent sein und öffentlich bekannt gemacht werden. Der betreffenden öffentlichen Stelle ist im Rahmen der Vereinbarung eine Kopie der digitalisierten Kulturbestände unentgeltlich zur Verfügung zu stellen. Die öffentliche Stelle stellt diese Kopie am Ende des Ausschließlichkeitszeitraums zur Weiterverwendung zur Verfügung.</w:t>
      </w:r>
    </w:p>
    <w:p>
      <w:r>
        <w:rPr>
          <w:color w:val="555555"/>
          <w:sz w:val="17"/>
        </w:rPr>
        <w:t xml:space="preserve">Zitiervorschlag: § 3a IWG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https://recht.nulegal.eu/gesetze/IWG/3a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