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2a IWG — Grundsatz der Weiterverwendung</w:t>
      </w:r>
    </w:p>
    <w:p>
      <w:r>
        <w:rPr>
          <w:color w:val="555555"/>
          <w:sz w:val="18"/>
        </w:rPr>
        <w:t xml:space="preserve">Informationsweiterverwendungsgesetz</w:t>
      </w:r>
    </w:p>
    <w:p>
      <w:r>
        <w:rPr>
          <w:color w:val="555555"/>
          <w:sz w:val="18"/>
        </w:rPr>
        <w:t xml:space="preserve">Historische Fassung: Stand 10.06.2019 bis 23.07.2021. Dies ist nicht die aktuelle Fassung.</w:t>
      </w:r>
    </w:p>
    <w:p>
      <w:r>
        <w:t xml:space="preserve">Informationen, die in den Anwendungsbereich dieses Gesetzes fallen, dürfen weiterverwendet werden. Für Informationen, an denen Bibliotheken, einschließlich Hochschulbibliotheken, Museen oder Archiven, Urheber- oder verwandte Schutzrechte oder gewerbliche Schutzrechte zustehen, gilt dies nur, soweit deren Nutzung nach den für diese Schutzrechte geltenden Vorschriften zulässig ist oder die Einrichtung die Nutzung zugelassen hat; die Bedingungen der Nutzung müssen den Vorschriften dieses Gesetzes entsprechen.</w:t>
      </w:r>
    </w:p>
    <w:p>
      <w:r>
        <w:rPr>
          <w:color w:val="555555"/>
          <w:sz w:val="17"/>
        </w:rPr>
        <w:t xml:space="preserve">Zitiervorschlag: § 2a IWG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https://recht.nulegal.eu/gesetze/IWG/2a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