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IWG — Begriffsbestimmungen</w:t>
      </w:r>
    </w:p>
    <w:p>
      <w:r>
        <w:rPr>
          <w:color w:val="555555"/>
          <w:sz w:val="18"/>
        </w:rPr>
        <w:t xml:space="preserve">Informationsweiterverwendungsgesetz</w:t>
      </w:r>
    </w:p>
    <w:p>
      <w:r>
        <w:rPr>
          <w:color w:val="555555"/>
          <w:sz w:val="18"/>
        </w:rPr>
        <w:t xml:space="preserve">Historische Fassung: Stand 10.06.2019 bis 23.07.2021. Dies ist nicht die aktuelle Fassung.</w:t>
      </w:r>
    </w:p>
    <w:p>
      <w:r>
        <w:t xml:space="preserve">Im Sinne dieses Gesetzes</w:t>
      </w:r>
    </w:p>
    <w:p>
      <w:pPr>
        <w:ind w:left="420"/>
      </w:pPr>
      <w:r>
        <w:t xml:space="preserve">1. sind öffentliche Stellen</w:t>
      </w:r>
    </w:p>
    <w:p>
      <w:pPr>
        <w:ind w:left="780"/>
      </w:pPr>
      <w:r>
        <w:t xml:space="preserve">a) Gebietskörperschaften, einschließlich ihrer Sondervermögen,</w:t>
      </w:r>
    </w:p>
    <w:p>
      <w:pPr>
        <w:ind w:left="780"/>
      </w:pPr>
      <w:r>
        <w:t xml:space="preserve">b) andere juristische Personen des öffentlichen und des privaten Rechts, die zu dem besonderen Zweck gegründet wurden, im Allgemeininteresse liegende Aufgaben nichtgewerblicher Art zu erfüllen, wenn Stellen, die unter Buchstabe a oder Buchstabe c fallen, sie einzeln oder gemeinsam durch Beteiligung oder auf sonstige Weise überwiegend finanzieren oder über ihre Leitung die Aufsicht ausüben oder mehr als die Hälfte der Mitglieder eines ihrer zur Geschäftsführung oder zur Aufsicht berufenen Organe bestimmt haben. Das Gleiche gilt dann, wenn die Stelle, die einzeln oder gemeinsam mit anderen die überwiegende Finanzierung gewährt oder die Mehrheit der Mitglieder eines zur Geschäftsführung oder Aufsicht berufenen Organs bestimmt hat, unter Satz 1 fällt,</w:t>
      </w:r>
    </w:p>
    <w:p>
      <w:pPr>
        <w:ind w:left="780"/>
      </w:pPr>
      <w:r>
        <w:t xml:space="preserve">c) Verbände, deren Mitglieder unter Buchstabe a oder Buchstabe b fallen,</w:t>
      </w:r>
    </w:p>
    <w:p>
      <w:pPr>
        <w:ind w:left="420"/>
      </w:pPr>
      <w:r>
        <w:t xml:space="preserve">2. ist Information jede Aufzeichnung, unabhängig von der Art ihrer Speicherung,</w:t>
      </w:r>
    </w:p>
    <w:p>
      <w:pPr>
        <w:ind w:left="420"/>
      </w:pPr>
      <w:r>
        <w:t xml:space="preserve">3. ist Weiterverwendung jede Nutzung von Informationen für kommerzielle oder nichtkommerzielle Zwecke, die über die Erfüllung einer öffentlichen Aufgabe hinausgeht; die intellektuelle Wahrnehmung einer Information und die Verwertung des dadurch erlangten Wissens stellen regelmäßig keine Weiterverwendung dar,</w:t>
      </w:r>
    </w:p>
    <w:p>
      <w:pPr>
        <w:ind w:left="420"/>
      </w:pPr>
      <w:r>
        <w:t xml:space="preserve">4. sind Nutzungsbestimmungen Bestimmungen, die wesentliche Fragen der Weiterverwendung von Informationen regeln,</w:t>
      </w:r>
    </w:p>
    <w:p>
      <w:pPr>
        <w:ind w:left="420"/>
      </w:pPr>
      <w:r>
        <w:t xml:space="preserve">5. ist maschinenlesbares Format ein Dateiformat, das so strukturiert ist, dass Softwareanwendungen bestimmte Daten, einschließlich einzelner Sachverhaltsdarstellungen und deren interner Struktur, leicht identifizieren, erkennen und extrahieren können,</w:t>
      </w:r>
    </w:p>
    <w:p>
      <w:pPr>
        <w:ind w:left="420"/>
      </w:pPr>
      <w:r>
        <w:t xml:space="preserve">6. ist offenes Format ein Dateiformat, das plattformunabhängig ist und der Öffentlichkeit ohne Einschränkungen, die der Weiterverwendung von Informationen hinderlich wären, zugänglich gemacht wird,</w:t>
      </w:r>
    </w:p>
    <w:p>
      <w:pPr>
        <w:ind w:left="420"/>
      </w:pPr>
      <w:r>
        <w:t xml:space="preserve">7. ist anerkannter, offener Standard ein schriftlich niedergelegter Standard, in dem die Anforderungen für die Sicherstellung der Interoperabilität der Software niedergelegt sind.</w:t>
      </w:r>
    </w:p>
    <w:p>
      <w:r>
        <w:rPr>
          <w:color w:val="555555"/>
          <w:sz w:val="17"/>
        </w:rPr>
        <w:t xml:space="preserve">Zitiervorschlag: § 2 IWG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