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IWG — Gegenstand und Anwendungsbereich</w:t>
      </w:r>
    </w:p>
    <w:p>
      <w:r>
        <w:rPr>
          <w:color w:val="555555"/>
          <w:sz w:val="18"/>
        </w:rPr>
        <w:t xml:space="preserve">Informationsweiterverwendungsgesetz</w:t>
      </w:r>
    </w:p>
    <w:p>
      <w:r>
        <w:rPr>
          <w:color w:val="555555"/>
          <w:sz w:val="18"/>
        </w:rPr>
        <w:t xml:space="preserve">Historische Fassung: Stand 10.06.2019 bis 23.07.2021. Dies ist nicht die aktuelle Fassung.</w:t>
      </w:r>
    </w:p>
    <w:p>
      <w:r>
        <w:t xml:space="preserve">(1) Dieses Gesetz gilt für die Weiterverwendung von bei öffentlichen Stellen vorhandenen Informationen, insbesondere zur Bereitstellung von Produkten und Dienstleistungen der digitalen Wirtschaft.</w:t>
      </w:r>
    </w:p>
    <w:p>
      <w:r>
        <w:t xml:space="preserve">(2) Dieses Gesetz gilt nicht für Informationen,</w:t>
      </w:r>
    </w:p>
    <w:p>
      <w:pPr>
        <w:ind w:left="420"/>
      </w:pPr>
      <w:r>
        <w:t xml:space="preserve">1. an denen kein oder nur ein eingeschränktes Zugangsrecht besteht,</w:t>
      </w:r>
    </w:p>
    <w:p>
      <w:pPr>
        <w:ind w:left="420"/>
      </w:pPr>
      <w:r>
        <w:t xml:space="preserve">2. die nur bei Nachweis eines rechtlichen oder berechtigten Interesses zugänglich sind,</w:t>
      </w:r>
    </w:p>
    <w:p>
      <w:pPr>
        <w:ind w:left="420"/>
      </w:pPr>
      <w:r>
        <w:t xml:space="preserve">2a. die lediglich Logos, Wappen und Insignien enthalten,</w:t>
      </w:r>
    </w:p>
    <w:p>
      <w:pPr>
        <w:ind w:left="420"/>
      </w:pPr>
      <w:r>
        <w:t xml:space="preserve">3. deren Erstellung nicht unter die öffentlichen Aufgaben der betreffenden öffentlichen Stelle fällt,</w:t>
      </w:r>
    </w:p>
    <w:p>
      <w:pPr>
        <w:ind w:left="420"/>
      </w:pPr>
      <w:r>
        <w:t xml:space="preserve">4. die von Urheberrechten, verwandten Schutzrechten oder gewerblichen Schutzrechten Dritter erfasst werden,</w:t>
      </w:r>
    </w:p>
    <w:p>
      <w:pPr>
        <w:ind w:left="420"/>
      </w:pPr>
      <w:r>
        <w:t xml:space="preserve">5. die im Besitz öffentlich-rechtlicher Rundfunkanstalten oder deren Beauftragten sind und der Wahrnehmung eines öffentlichen Programm- oder Sendeauftrags dienen,</w:t>
      </w:r>
    </w:p>
    <w:p>
      <w:pPr>
        <w:ind w:left="420"/>
      </w:pPr>
      <w:r>
        <w:t xml:space="preserve">6. die im Besitz von Bildungs- und Forschungseinrichtungen sind, einschließlich solcher Einrichtungen, die zum Transfer von Forschungsergebnissen gegründet wurden, außer Hochschulbibliotheken,</w:t>
      </w:r>
    </w:p>
    <w:p>
      <w:pPr>
        <w:ind w:left="420"/>
      </w:pPr>
      <w:r>
        <w:t xml:space="preserve">7. die im Besitz kultureller Einrichtungen sind, außer öffentlichen Bibliotheken, Museen oder Archiven,</w:t>
      </w:r>
    </w:p>
    <w:p>
      <w:pPr>
        <w:ind w:left="420"/>
      </w:pPr>
      <w:r>
        <w:t xml:space="preserve">8. die nach den Vorschriften des Bundes oder der Länder über den Zugang der Öffentlichkeit zu Geodaten oder zu Umweltinformationen zugänglich sind und uneingeschränkt weiterverwendet werden dürfen.</w:t>
      </w:r>
    </w:p>
    <w:p>
      <w:r>
        <w:t xml:space="preserve">(2a) Ein Anspruch auf Zugang zu Informationen wird durch dieses Gesetz nicht begründet.</w:t>
      </w:r>
    </w:p>
    <w:p>
      <w:r>
        <w:t xml:space="preserve">(3) Die Bestimmungen zum Schutz personenbezogener Daten und weitergehende Ansprüche aus anderen Rechtsvorschriften auf Weiterverwendung von Informationen öffentlicher Stellen bleiben unberührt.</w:t>
      </w:r>
    </w:p>
    <w:p>
      <w:r>
        <w:rPr>
          <w:color w:val="555555"/>
          <w:sz w:val="17"/>
        </w:rPr>
        <w:t xml:space="preserve">Zitiervorschlag: § 1 IWG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https://recht.nulegal.eu/gesetze/IWG/1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