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IVUAbwV (Bayern)</w:t>
      </w:r>
    </w:p>
    <w:p>
      <w:r>
        <w:rPr>
          <w:color w:val="555555"/>
          <w:sz w:val="18"/>
        </w:rPr>
        <w:t xml:space="preserve">Bayerische IVU-Abwasser-Verordnung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41j, Art. 70 Abs. 2 und Art. 77 Abs. 2 Satz 2 des Bayerischen Wassergesetzes (BayWG) in der Fassung der Bekanntmachung vom 19. Juli 1994 (GVBl S. 882, BayRS 753–1–U), zuletzt geändert durch § 54 des Gesetzes vom 24. April 2001 (GVBl S. 140), erlässt das Bayerische Staatsministerium für Landesentwicklung und Umweltfragen folgende Verordnung:</w:t>
      </w:r>
    </w:p>
    <w:p>
      <w:r>
        <w:rPr>
          <w:color w:val="555555"/>
          <w:sz w:val="17"/>
        </w:rPr>
        <w:t xml:space="preserve">Zitiervorschlag: Eingangsformel IVUAbwV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https://recht.nulegal.eu/gesetze/IVUAbwV/eingangsformel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