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IVUAbwV (Bayern) — Unterrichtung bei Störungen und Unfällen</w:t>
      </w:r>
    </w:p>
    <w:p>
      <w:r>
        <w:rPr>
          <w:color w:val="555555"/>
          <w:sz w:val="18"/>
        </w:rPr>
        <w:t xml:space="preserve">Bayerische IVU-Abwasser-Verordnung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Betreiber hat die Kreisverwaltungsbehörde und das Wasserwirtschaftsamt, bei Bergbaubetrieben die zuständige Bergbehörde, unverzüglich über alle Störungen und Unfälle mit erheblichen Umweltauswirkungen zu unterrichten.</w:t>
      </w:r>
    </w:p>
    <w:p>
      <w:r>
        <w:rPr>
          <w:color w:val="555555"/>
          <w:sz w:val="17"/>
        </w:rPr>
        <w:t xml:space="preserve">Zitiervorschlag: § 8 IVUAbwV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https://recht.nulegal.eu/gesetze/IVUAbwV/8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