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IVUAbwV (Bayern) — Überwachung und Überprüfung der Erlaubnis</w:t>
      </w:r>
    </w:p>
    <w:p>
      <w:r>
        <w:rPr>
          <w:color w:val="555555"/>
          <w:sz w:val="18"/>
        </w:rPr>
        <w:t xml:space="preserve">Bayerische IVU-Abwasser-Verordnung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Einhaltung der Erlaubnis ist regelmäßig zu überwachen.</w:t>
      </w:r>
    </w:p>
    <w:p>
      <w:r>
        <w:t xml:space="preserve">(2) Die Erlaubnis ist regelmäßig zu überprüfen und soweit erforderlich anzupassen.</w:t>
      </w:r>
    </w:p>
    <w:p>
      <w:r>
        <w:rPr>
          <w:color w:val="555555"/>
          <w:sz w:val="17"/>
        </w:rPr>
        <w:t xml:space="preserve">Zitiervorschlag: § 7 IVUAbwV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https://recht.nulegal.eu/gesetze/IVUAbwV/7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