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IVSG 2026 — Nationale Stelle</w:t>
      </w:r>
    </w:p>
    <w:p>
      <w:r>
        <w:rPr>
          <w:color w:val="555555"/>
          <w:sz w:val="18"/>
        </w:rPr>
        <w:t xml:space="preserve">Intelligente-Verkehrssysteme-Gesetz</w:t>
      </w:r>
    </w:p>
    <w:p>
      <w:r>
        <w:rPr>
          <w:color w:val="555555"/>
          <w:sz w:val="18"/>
        </w:rPr>
        <w:t xml:space="preserve">Stand: 21.05.2026 (konsolidierte Textfassung, kein amtliches Inkrafttretensdatum)</w:t>
      </w:r>
    </w:p>
    <w:p>
      <w:r>
        <w:t xml:space="preserve">(1) Die Bundesanstalt für Straßen- und Verkehrswesen nimmt folgende Aufgaben als Nationale Stelle wahr:</w:t>
      </w:r>
    </w:p>
    <w:p>
      <w:pPr>
        <w:ind w:left="420"/>
      </w:pPr>
      <w:r>
        <w:t xml:space="preserve">1. Identifizierung und Ansprache von Dateninhabern und Datennutzern;</w:t>
      </w:r>
    </w:p>
    <w:p>
      <w:pPr>
        <w:ind w:left="420"/>
      </w:pPr>
      <w:r>
        <w:t xml:space="preserve">2. Beratung der Dateninhaber zu den Vorgaben für die Datenbereitstellung, zu den Prozessen der Dokumentation und der Verbesserung der Datenqualität sowie zur Anbindung an den Nationalen Zugangspunkt;</w:t>
      </w:r>
    </w:p>
    <w:p>
      <w:pPr>
        <w:ind w:left="420"/>
      </w:pPr>
      <w:r>
        <w:t xml:space="preserve">3. Ausarbeitung und Veröffentlichung von Leitlinien zu Datenstandards, Mindestprofilen, Qualitätsstandards und weiteren technischen Einzelheiten hinsichtlich der Bereitstellung und der Nutzung von Daten;</w:t>
      </w:r>
    </w:p>
    <w:p>
      <w:pPr>
        <w:ind w:left="420"/>
      </w:pPr>
      <w:r>
        <w:t xml:space="preserve">4. regelmäßige stichprobenartige Überprüfung der Quantität und der Qualität der bereitgestellten Daten sowie der Einhaltung der Vorgaben für die Datenbereitstellung;</w:t>
      </w:r>
    </w:p>
    <w:p>
      <w:pPr>
        <w:ind w:left="420"/>
      </w:pPr>
      <w:r>
        <w:t xml:space="preserve">5. Ansprache der Dateninhaber im Falle der Nichteinhaltung der Vorgaben für die Datenbereitstellung und der sonstigen Nichterfüllung von Pflichten nach diesem Gesetz;</w:t>
      </w:r>
    </w:p>
    <w:p>
      <w:pPr>
        <w:ind w:left="420"/>
      </w:pPr>
      <w:r>
        <w:t xml:space="preserve">6. Sicherstellung der Abgabe von Eigenerklärungen nach § 10;</w:t>
      </w:r>
    </w:p>
    <w:p>
      <w:pPr>
        <w:ind w:left="420"/>
      </w:pPr>
      <w:r>
        <w:t xml:space="preserve">7. regelmäßige Durchführung von Analysen der Datennutzung und der Einhaltung der Vorgaben für die Datennutzung;</w:t>
      </w:r>
    </w:p>
    <w:p>
      <w:pPr>
        <w:ind w:left="420"/>
      </w:pPr>
      <w:r>
        <w:t xml:space="preserve">8. Ansprache der Datennutzer im Falle der Nichterfüllung von Pflichten nach diesem Gesetz;</w:t>
      </w:r>
    </w:p>
    <w:p>
      <w:pPr>
        <w:ind w:left="420"/>
      </w:pPr>
      <w:r>
        <w:t xml:space="preserve">9. automatisierte Entgegennahme von Hinweisen der Datennutzer zur Qualität und Rechtskonformität der bereitgestellten Daten und Weiterleitung dieser Hinweise an die betreffenden Dateninhaber;</w:t>
      </w:r>
    </w:p>
    <w:p>
      <w:pPr>
        <w:ind w:left="420"/>
      </w:pPr>
      <w:r>
        <w:t xml:space="preserve">10. Beratung der Datennutzer zum Zugang zu und zur Nutzung von über den Nationalen Zugangspunkt bereitgestellten Daten;</w:t>
      </w:r>
    </w:p>
    <w:p>
      <w:pPr>
        <w:ind w:left="420"/>
      </w:pPr>
      <w:r>
        <w:t xml:space="preserve">11. Unterstützung des Bundesministeriums für Verkehr bei der Berichterstattung nach Artikel 17 der Richtlinie 2010/40/EU, insbesondere in Bezug auf Einholung der erforderlichen Informationen bei den zuständigen Stellen;</w:t>
      </w:r>
    </w:p>
    <w:p>
      <w:pPr>
        <w:ind w:left="420"/>
      </w:pPr>
      <w:r>
        <w:t xml:space="preserve">12. Sicherstellung der Interoperabilität und Kontinuität der IVS-Dienste in Zusammenarbeit mit den Betreibern der Nationalen Zugangspunkte anderer Mitgliedstaaten der Europäischen Union und mit weiteren Stellen, soweit dies erforderlich oder zweckmäßig ist.</w:t>
      </w:r>
    </w:p>
    <w:p>
      <w:r>
        <w:t xml:space="preserve">(2) Die Bundesanstalt für Straßen- und Verkehrswesen kann mit Zustimmung des Bundesministeriums für Verkehr juristischen Personen des privaten Rechts durch Beleihung die Befugnis übertragen, Aufgaben nach Absatz 1 im eigenen Namen und in den Handlungsformen des öffentlichen Rechts wahrzunehmen. § 7 Absatz 3 gilt entsprechend.</w:t>
      </w:r>
    </w:p>
    <w:p>
      <w:r>
        <w:t xml:space="preserve">(3) Die Einzelheiten der Zusammenarbeit zwischen der Nationalen Stelle und den Betreibern der Landessysteme regeln das Bundesministerium für Verkehr und die Länder in einer Verwaltungsvereinbarung.</w:t>
      </w:r>
    </w:p>
    <w:p>
      <w:r>
        <w:rPr>
          <w:color w:val="555555"/>
          <w:sz w:val="17"/>
        </w:rPr>
        <w:t xml:space="preserve">Zitiervorschlag: § 9 IVSG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https://recht.nulegal.eu/gesetze/IVSG%202026/9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