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IVSG 2026 — Nationaler Zugangspunkt</w:t>
      </w:r>
    </w:p>
    <w:p>
      <w:r>
        <w:rPr>
          <w:color w:val="555555"/>
          <w:sz w:val="18"/>
        </w:rPr>
        <w:t xml:space="preserve">Intelligente-Verkehrssysteme-Gesetz</w:t>
      </w:r>
    </w:p>
    <w:p>
      <w:r>
        <w:rPr>
          <w:color w:val="555555"/>
          <w:sz w:val="18"/>
        </w:rPr>
        <w:t xml:space="preserve">Stand: 21.05.2026 (konsolidierte Textfassung, kein amtliches Inkrafttretensdatum)</w:t>
      </w:r>
    </w:p>
    <w:p>
      <w:r>
        <w:t xml:space="preserve">(1) Das Bundesministerium für Verkehr betreibt den Nationalen Zugangspunkt.</w:t>
      </w:r>
    </w:p>
    <w:p>
      <w:r>
        <w:t xml:space="preserve">(2) Der Nationale Zugangspunkt hat den Zugang zu den Daten zu ermöglichen. Er hat zu diesem Zweck insbesondere die Möglichkeit zur Datenbereitstellung, Datenübermittlung und Datenweiterverwendung zu gewährleisten.</w:t>
      </w:r>
    </w:p>
    <w:p>
      <w:r>
        <w:t xml:space="preserve">(3) Das Bundesministerium für Verkehr kann andere Stellen mit der Wahrnehmung der Aufgabe nach Absatz 1 beauftragen.</w:t>
      </w:r>
    </w:p>
    <w:p>
      <w:r>
        <w:t xml:space="preserve">(4) Das Bundesministerium für Verkehr kann juristischen Personen des privaten Rechts durch Beleihung die Befugnis übertragen, die Aufgabe nach Absatz 1 im eigenen Namen und in den Handlungsformen des öffentlichen Rechts wahrzunehmen, sofern sie die Gewähr für eine sachgerechte Aufgabenerfüllung bieten und die Beleihung im öffentlichen Interesse liegt. Die Übertragung ist im Bundesanzeiger bekanntzumachen. Die Beliehene unterliegt der Rechts- und Fachaufsicht des Bundesministeriums für Verkehr. Im Falle der Staatshaftung wegen Ansprüchen Dritter kann der Bund gegenüber einer beliehenen juristischen Person des Privatrechts bei Vorliegen von Vorsatz oder grober Fahrlässigkeit Rückgriff nehmen.</w:t>
      </w:r>
    </w:p>
    <w:p>
      <w:r>
        <w:rPr>
          <w:color w:val="555555"/>
          <w:sz w:val="17"/>
        </w:rPr>
        <w:t xml:space="preserve">Zitiervorschlag: § 7 IVSG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https://recht.nulegal.eu/gesetze/IVSG%202026/7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