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IVSG 2026 — Art der Datenbereitstellung</w:t>
      </w:r>
    </w:p>
    <w:p>
      <w:r>
        <w:rPr>
          <w:color w:val="555555"/>
          <w:sz w:val="18"/>
        </w:rPr>
        <w:t xml:space="preserve">Intelligente-Verkehrssysteme-Gesetz</w:t>
      </w:r>
    </w:p>
    <w:p>
      <w:r>
        <w:rPr>
          <w:color w:val="555555"/>
          <w:sz w:val="18"/>
        </w:rPr>
        <w:t xml:space="preserve">Stand: 21.05.2026 (konsolidierte Textfassung, kein amtliches Inkrafttretensdatum)</w:t>
      </w:r>
    </w:p>
    <w:p>
      <w:r>
        <w:t xml:space="preserve">(1) Dateninhaber haben für die Bereitstellung von Daten nach § 5 über den Nationalen Zugangspunkt die Vorgaben der Nationalen Stelle gemäß § 9 Absatz 1 Nummer 3 zu beachten.</w:t>
      </w:r>
    </w:p>
    <w:p>
      <w:r>
        <w:t xml:space="preserve">(2) Dateninhaber sind berechtigt, die Daten über einen Datenmittler bereitzustellen. Der Datenmittler hat die ihm bereitgestellten Daten unverzüglich an den Nationalen Zugangspunkt weiterzuleiten und der Nationalen Stelle Folgendes mitzuteilen:</w:t>
      </w:r>
    </w:p>
    <w:p>
      <w:pPr>
        <w:ind w:left="420"/>
      </w:pPr>
      <w:r>
        <w:t xml:space="preserve">1. den Namen des Dateninhabers und des Datenmittlers,</w:t>
      </w:r>
    </w:p>
    <w:p>
      <w:pPr>
        <w:ind w:left="420"/>
      </w:pPr>
      <w:r>
        <w:t xml:space="preserve">2. den Zeitpunkt der erstmaligen Datenbereitstellung durch den Datenmittler,</w:t>
      </w:r>
    </w:p>
    <w:p>
      <w:pPr>
        <w:ind w:left="420"/>
      </w:pPr>
      <w:r>
        <w:t xml:space="preserve">3. die betroffenen Datenarten nach den in § 1 Absatz 2 Nummer 2 bis 6 bezeichneten Rechtsakten und</w:t>
      </w:r>
    </w:p>
    <w:p>
      <w:pPr>
        <w:ind w:left="420"/>
      </w:pPr>
      <w:r>
        <w:t xml:space="preserve">4. die geografische Abdeckung, auf die sich die Daten beziehen.</w:t>
      </w:r>
    </w:p>
    <w:p>
      <w:r>
        <w:t xml:space="preserve">Der Datenmittler hat der Nationalen Stelle Änderungen der nach Satz 2 Nummer 1 bis 4 zu machenden Angaben unverzüglich mitzuteilen. Absatz 1 gilt entsprechend.</w:t>
      </w:r>
    </w:p>
    <w:p>
      <w:r>
        <w:t xml:space="preserve">(3) Ist Datenmittler nach Absatz 2 der Betreiber eines Landessystems, so hat er auf die Einhaltung der Qualität der bereitgestellten Daten hinzuwirken. Das Nähere regelt die Verwaltungsvereinbarung nach § 9 Absatz 3.</w:t>
      </w:r>
    </w:p>
    <w:p>
      <w:r>
        <w:rPr>
          <w:color w:val="555555"/>
          <w:sz w:val="17"/>
        </w:rPr>
        <w:t xml:space="preserve">Zitiervorschlag: § 6 IVSG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https://recht.nulegal.eu/gesetze/IVSG%202026/6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