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IVSG 2026 — Pflicht zur Datenbereitstellung</w:t>
      </w:r>
    </w:p>
    <w:p>
      <w:r>
        <w:rPr>
          <w:color w:val="555555"/>
          <w:sz w:val="18"/>
        </w:rPr>
        <w:t xml:space="preserve">Intelligente-Verkehrssysteme-Gesetz</w:t>
      </w:r>
    </w:p>
    <w:p>
      <w:r>
        <w:rPr>
          <w:color w:val="555555"/>
          <w:sz w:val="18"/>
        </w:rPr>
        <w:t xml:space="preserve">Stand: 21.05.2026 (konsolidierte Textfassung, kein amtliches Inkrafttretensdatum)</w:t>
      </w:r>
    </w:p>
    <w:p>
      <w:r>
        <w:t xml:space="preserve">(1) Die zuständigen Stellen haben Daten gemäß § 2 Nummer 6 nach den in § 1 Absatz 2 Nummer 2 bis 6 bezeichneten Rechtsakten über den Nationalen Zugangspunkt bereitzustellen. Ausgenommen sind Daten, die unter Artikel 10 der Verordnung (EU) 2021/782 fallen.</w:t>
      </w:r>
    </w:p>
    <w:p>
      <w:r>
        <w:t xml:space="preserve">(2) Zum Zweck der Bereitstellung haben die zuständigen Stellen zu gewährleisten, dass die zugrunde liegenden Informationen in Daten gemäß den spezifizierten Formaten transformiert werden, wobei</w:t>
      </w:r>
    </w:p>
    <w:p>
      <w:pPr>
        <w:ind w:left="420"/>
      </w:pPr>
      <w:r>
        <w:t xml:space="preserve">1. neue und geänderte zugrunde liegende Informationen zu Datenarten nach Anhang III der Richtlinie 2010/40/EU für die jeweilige geografische Abdeckung spätestens zu dem in Spalte 3 des Anhangs III der Richtlinie 2010/40/EU bezeichneten Zeitpunkt als Daten über den Nationalen Zugangspunkt bereitzustellen sind und</w:t>
      </w:r>
    </w:p>
    <w:p>
      <w:pPr>
        <w:ind w:left="420"/>
      </w:pPr>
      <w:r>
        <w:t xml:space="preserve">2. bereits vorhandene zugrunde liegende Informationen zu Datenarten nach Anhang III der Richtlinie 2010/40/EU für die jeweilige geografische Abdeckung spätestens bis zu dem in Spalte 4 des Anhangs III der Richtlinie 2010/40/EU bezeichneten Zeitpunkt als Daten über den Nationalen Zugangspunkt bereitzustellen sind.</w:t>
      </w:r>
    </w:p>
    <w:p>
      <w:r>
        <w:t xml:space="preserve">(3) Die zuständigen Stellen haben bis zum 31. Oktober 2026 mitzuteilen, ob sie beabsichtigen, von der Möglichkeit gemäß Anhang III der Richtlinie 2010/40/EU Gebrauch zu machen, für die geographische Abdeckung der Städte im Zentrum von Städtischen Knoten gemäß der Verordnung (EU) 2024/1679 die Verpflichtung zur Datenbereitstellung gemäß Absatz 2 Nummer 1 auf Straßen mit einem durchschnittlichen Tagesverkehrsaufkommen im Jahr von mehr als 7 000 Fahrzeugen zu beschränken.</w:t>
      </w:r>
    </w:p>
    <w:p>
      <w:r>
        <w:t xml:space="preserve">(4) Die Bereitstellungspflicht über den Nationalen Zugangspunkt umfasst Auslastungsdaten nach Artikel 5 Absatz 4 der Delegierten Verordnung (EU) 2017/1926 für straßengebundene und schienengebundene Linienverkehrsdienste. Hiervon ist der Personenfernverkehr gemäß § 42a Satz 1 des Personenbeförderungsgesetzes ausgenommen. Ausgenommen sind Daten, die unter Artikel 10 der Verordnung (EU) 2021/782 fallen.</w:t>
      </w:r>
    </w:p>
    <w:p>
      <w:r>
        <w:rPr>
          <w:color w:val="555555"/>
          <w:sz w:val="17"/>
        </w:rPr>
        <w:t xml:space="preserve">Zitiervorschlag: § 5 IVSG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https://recht.nulegal.eu/gesetze/IVSG%202026/5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