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IVSG 2026 — Vorrangige Bereiche</w:t>
      </w:r>
    </w:p>
    <w:p>
      <w:r>
        <w:rPr>
          <w:color w:val="555555"/>
          <w:sz w:val="18"/>
        </w:rPr>
        <w:t xml:space="preserve">Intelligente-Verkehrssysteme-Gesetz</w:t>
      </w:r>
    </w:p>
    <w:p>
      <w:r>
        <w:rPr>
          <w:color w:val="555555"/>
          <w:sz w:val="18"/>
        </w:rPr>
        <w:t xml:space="preserve">Stand: 21.05.2026 (konsolidierte Textfassung, kein amtliches Inkrafttretensdatum)</w:t>
      </w:r>
    </w:p>
    <w:p>
      <w:r>
        <w:t xml:space="preserve">Die Einführung von IVS-Diensten einschließlich der Verfügbarkeit der für die IVS-Dienste benötigten Daten sind vorrangig in den folgenden Bereichen vorgesehen:</w:t>
      </w:r>
    </w:p>
    <w:p>
      <w:pPr>
        <w:ind w:left="420"/>
      </w:pPr>
      <w:r>
        <w:t xml:space="preserve">1. Informations- und Mobilitätsdienste,</w:t>
      </w:r>
    </w:p>
    <w:p>
      <w:pPr>
        <w:ind w:left="420"/>
      </w:pPr>
      <w:r>
        <w:t xml:space="preserve">2. Dienste des Reise-, Transport- und Verkehrsmanagements,</w:t>
      </w:r>
    </w:p>
    <w:p>
      <w:pPr>
        <w:ind w:left="420"/>
      </w:pPr>
      <w:r>
        <w:t xml:space="preserve">3. Dienste für die Straßenverkehrssicherheit und</w:t>
      </w:r>
    </w:p>
    <w:p>
      <w:pPr>
        <w:ind w:left="420"/>
      </w:pPr>
      <w:r>
        <w:t xml:space="preserve">4. Dienste für kooperative, vernetzte und automatisierte Mobilität.</w:t>
      </w:r>
    </w:p>
    <w:p>
      <w:r>
        <w:rPr>
          <w:color w:val="555555"/>
          <w:sz w:val="17"/>
        </w:rPr>
        <w:t xml:space="preserve">Zitiervorschlag: § 4 IVSG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https://recht.nulegal.eu/gesetze/IVSG%202026/4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