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IVSG 2026 — Einführung intelligenter Verkehrssysteme</w:t>
      </w:r>
    </w:p>
    <w:p>
      <w:r>
        <w:rPr>
          <w:color w:val="555555"/>
          <w:sz w:val="18"/>
        </w:rPr>
        <w:t xml:space="preserve">Intelligente-Verkehrssysteme-Gesetz</w:t>
      </w:r>
    </w:p>
    <w:p>
      <w:r>
        <w:rPr>
          <w:color w:val="555555"/>
          <w:sz w:val="18"/>
        </w:rPr>
        <w:t xml:space="preserve">Stand: 21.05.2026 (konsolidierte Textfassung, kein amtliches Inkrafttretensdatum)</w:t>
      </w:r>
    </w:p>
    <w:p>
      <w:r>
        <w:t xml:space="preserve">(1) Bei der Einführung von IVS-Anwendungen und IVS-Diensten haben die zuständigen Stellen die nach Artikel 6 in Verbindung mit Anhang II der Richtlinie 2010/40/EU erlassenen Grundsätze für die Spezifikationen zu beachten.</w:t>
      </w:r>
    </w:p>
    <w:p>
      <w:r>
        <w:t xml:space="preserve">(2) Die zuständigen Stellen haben sicherzustellen, dass die in Anhang IV der Richtlinie 2010/40/EU aufgeführten IVS-Dienste für die geografischen Abdeckungen, für die sie jeweils zuständig sind, so früh wie möglich und spätestens bis zu den in Anhang IV der Richtlinie 2010/40/EU festgelegten Zeitpunkten eingeführt werden.</w:t>
      </w:r>
    </w:p>
    <w:p>
      <w:r>
        <w:rPr>
          <w:color w:val="555555"/>
          <w:sz w:val="17"/>
        </w:rPr>
        <w:t xml:space="preserve">Zitiervorschlag: § 3 IVSG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https://recht.nulegal.eu/gesetze/IVSG%202026/3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