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IVSG 2026 — Verarbeitung personenbezogener Daten</w:t>
      </w:r>
    </w:p>
    <w:p>
      <w:r>
        <w:rPr>
          <w:color w:val="555555"/>
          <w:sz w:val="18"/>
        </w:rPr>
        <w:t xml:space="preserve">Intelligente-Verkehrssysteme-Gesetz</w:t>
      </w:r>
    </w:p>
    <w:p>
      <w:r>
        <w:rPr>
          <w:color w:val="555555"/>
          <w:sz w:val="18"/>
        </w:rPr>
        <w:t xml:space="preserve">Stand: 21.05.2026 (konsolidierte Textfassung, kein amtliches Inkrafttretensdatum)</w:t>
      </w:r>
    </w:p>
    <w:p>
      <w:r>
        <w:t xml:space="preserve">(1) Personenbezogene Daten im Sinne von Artikel 4 Nummer 1 der Verordnung (EU) 2016/679 dürfen für die in diesem Gesetz festgelegten Zwecke nur verarbeitet werden, soweit ihre Verarbeitung erforderlich ist, damit die in Anhang I der Richtlinie 2010/40/EU genannten IVS-Anwendungen, IVS-Dienste und IVS-Maßnahmen im Hinblick auf die Gewährleistung der Verkehrssicherheit und eines erweiterten Verkehrs-, Mobilitäts- und Störungsmanagements funktionieren.</w:t>
      </w:r>
    </w:p>
    <w:p>
      <w:r>
        <w:t xml:space="preserve">(2) Betreffen gemäß Artikel 6 der Richtlinie 2010/40/EU erlassene Spezifikationen die Verarbeitung von personenbezogenen Daten im Sinne von Artikel 4 Nummer 1 der Verordnung (EU) 2016/679, so sind geeignete Vorkehrungen zum Schutz dieser Daten gemäß der Verordnung (EU) 2016/679 und der Richtlinie 2002/58/EG zu treffen.</w:t>
      </w:r>
    </w:p>
    <w:p>
      <w:r>
        <w:t xml:space="preserve">(3) Ist eine Anonymisierung der Daten nach Absatz 1 möglich und können die Zwecke der Datenverarbeitung mit anonymisierten Daten erreicht werden, so werden anonymisierte Daten verwendet.</w:t>
      </w:r>
    </w:p>
    <w:p>
      <w:r>
        <w:t xml:space="preserve">(4) Ist eine Anonymisierung nicht möglich oder können die Zwecke der Datenverarbeitung mit anonymisierten Daten nicht erreicht werden, so werden die Daten pseudonymisiert, sofern die Pseudonymisierung möglich ist und die Zwecke der Datenverarbeitung mit der Nutzung pseudonymisierter Daten erreicht werden können.</w:t>
      </w:r>
    </w:p>
    <w:p>
      <w:r>
        <w:rPr>
          <w:color w:val="555555"/>
          <w:sz w:val="17"/>
        </w:rPr>
        <w:t xml:space="preserve">Zitiervorschlag: § 13 IVSG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https://recht.nulegal.eu/gesetze/IVSG%202026/13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