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IVSG 2026 — Berichtspflichten gegenüber der Europäischen Kommission</w:t>
      </w:r>
    </w:p>
    <w:p>
      <w:r>
        <w:rPr>
          <w:color w:val="555555"/>
          <w:sz w:val="18"/>
        </w:rPr>
        <w:t xml:space="preserve">Intelligente-Verkehrssysteme-Gesetz</w:t>
      </w:r>
    </w:p>
    <w:p>
      <w:r>
        <w:rPr>
          <w:color w:val="555555"/>
          <w:sz w:val="18"/>
        </w:rPr>
        <w:t xml:space="preserve">Stand: 21.05.2026 (konsolidierte Textfassung, kein amtliches Inkrafttretensdatum)</w:t>
      </w:r>
    </w:p>
    <w:p>
      <w:r>
        <w:t xml:space="preserve">(1) Zuständig für die Erfüllung der Berichtspflicht nach Artikel 17 Absatz 1 und 3 der Richtlinie 2010/40/EU ist das Bundesministerium für Verkehr. Das Bundesministerium für Verkehr hat zur Wahrnehmung der Berichtspflicht nach Satz 1 die erforderlichen Informationen, insbesondere Eigenerklärungen, Fachbeiträge und Zuarbeiten der Nationalen Stelle, bei den zuständigen Stellen einzuholen.</w:t>
      </w:r>
    </w:p>
    <w:p>
      <w:r>
        <w:t xml:space="preserve">(2) Das Bundesministeriums für Verkehr hat die Berichte auf seiner Internetseite zu veröffentlichen.</w:t>
      </w:r>
    </w:p>
    <w:p>
      <w:r>
        <w:rPr>
          <w:color w:val="555555"/>
          <w:sz w:val="17"/>
        </w:rPr>
        <w:t xml:space="preserve">Zitiervorschlag: § 12 IVSG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https://recht.nulegal.eu/gesetze/IVSG%202026/12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IVSG 2026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