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IVSG 2026 — Anwendungsbereich</w:t>
      </w:r>
    </w:p>
    <w:p>
      <w:r>
        <w:rPr>
          <w:color w:val="555555"/>
          <w:sz w:val="18"/>
        </w:rPr>
        <w:t xml:space="preserve">Intelligente-Verkehrssysteme-Gesetz</w:t>
      </w:r>
    </w:p>
    <w:p>
      <w:r>
        <w:rPr>
          <w:color w:val="555555"/>
          <w:sz w:val="18"/>
        </w:rPr>
        <w:t xml:space="preserve">Stand: 21.05.2026 (konsolidierte Textfassung, kein amtliches Inkrafttretensdatum)</w:t>
      </w:r>
    </w:p>
    <w:p>
      <w:r>
        <w:t xml:space="preserve">(1) Dieses Gesetz ist anzuwenden auf intelligente Verkehrssysteme im Straßenverkehr und deren Schnittstellen zu anderen Verkehrsträgern und bei der Datenbereitstellung über den Nationalen Zugangspunkt.</w:t>
      </w:r>
    </w:p>
    <w:p>
      <w:r>
        <w:t xml:space="preserve">(2) Es dient der Umsetzung der Richtlinie 2010/40/EU und der Durchführung</w:t>
      </w:r>
    </w:p>
    <w:p>
      <w:pPr>
        <w:ind w:left="420"/>
      </w:pPr>
      <w:r>
        <w:t xml:space="preserve">1. der Delegierten Verordnung (EU) Nr. 305/2013 unter Beachtung des Beschlusses Nr. 585/2014/EU,</w:t>
      </w:r>
    </w:p>
    <w:p>
      <w:pPr>
        <w:ind w:left="420"/>
      </w:pPr>
      <w:r>
        <w:t xml:space="preserve">2. der Delegierten Verordnung (EU) Nr. 885/2013,</w:t>
      </w:r>
    </w:p>
    <w:p>
      <w:pPr>
        <w:ind w:left="420"/>
      </w:pPr>
      <w:r>
        <w:t xml:space="preserve">3. der Delegierten Verordnung (EU) Nr. 886/2013,</w:t>
      </w:r>
    </w:p>
    <w:p>
      <w:pPr>
        <w:ind w:left="420"/>
      </w:pPr>
      <w:r>
        <w:t xml:space="preserve">4. der Delegierten Verordnung (EU) 2017/1926,</w:t>
      </w:r>
    </w:p>
    <w:p>
      <w:pPr>
        <w:ind w:left="420"/>
      </w:pPr>
      <w:r>
        <w:t xml:space="preserve">5. der Delegierten Verordnung (EU) 2022/670 sowie</w:t>
      </w:r>
    </w:p>
    <w:p>
      <w:pPr>
        <w:ind w:left="420"/>
      </w:pPr>
      <w:r>
        <w:t xml:space="preserve">6. des Artikels 20 Absatz 2 der Verordnung (EU) 2023/1804 sowie der in Bezug auf die dort geregelte Pflicht erlassenen delegierten Rechtsakte und Durchführungsrechtsakte.</w:t>
      </w:r>
    </w:p>
    <w:p>
      <w:r>
        <w:t xml:space="preserve">(3) Dieses Gesetz gilt nicht für intelligente Verkehrssysteme, die der öffentlichen Sicherheit oder der Verteidigung dienen.</w:t>
      </w:r>
    </w:p>
    <w:p>
      <w:r>
        <w:rPr>
          <w:color w:val="555555"/>
          <w:sz w:val="17"/>
        </w:rPr>
        <w:t xml:space="preserve">Zitiervorschlag: § 1 IVSG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