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IVD-AMG-V</w:t>
      </w:r>
    </w:p>
    <w:p>
      <w:r>
        <w:rPr>
          <w:color w:val="555555"/>
          <w:sz w:val="18"/>
        </w:rPr>
        <w:t xml:space="preserve">In-vitro-Diagnostika-Verordnung nach dem 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IVD-AMG-V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https://recht.nulegal.eu/gesetze/IVD-AMG-V/schlussformel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IVD-AMG-V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