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IVD-AMG-V</w:t>
      </w:r>
    </w:p>
    <w:p>
      <w:r>
        <w:rPr>
          <w:color w:val="555555"/>
          <w:sz w:val="18"/>
        </w:rPr>
        <w:t xml:space="preserve">In-vitro-Diagnostika-Verordnung nach dem 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Zulassung und staatliche Chargenprüfung von Tests zur In-vitro-Diagnostik nach § 1 ist das Paul-Ehrlich-Institut zuständig.</w:t>
      </w:r>
    </w:p>
    <w:p>
      <w:r>
        <w:rPr>
          <w:color w:val="555555"/>
          <w:sz w:val="17"/>
        </w:rPr>
        <w:t xml:space="preserve">Zitiervorschlag: § 2 IVD-AMG-V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https://recht.nulegal.eu/gesetze/IVD-AMG-V/2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