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IVD-AMG-V</w:t>
      </w:r>
    </w:p>
    <w:p>
      <w:r>
        <w:rPr>
          <w:color w:val="555555"/>
          <w:sz w:val="18"/>
        </w:rPr>
        <w:t xml:space="preserve">In-vitro-Diagnostika-Verordnung nach dem 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21 und 22 sowie die §§ 24 bis 34 des Arzneimittelgesetzes über die Zulassung und staatliche Chargenprüfung werden ausgedehnt auf</w:t>
      </w:r>
    </w:p>
    <w:p>
      <w:pPr>
        <w:ind w:left="420"/>
      </w:pPr>
      <w:r>
        <w:t xml:space="preserve">1. Testsera und Testantigene, die dazu bestimmt sind, beim Menschen die Erreger von folgenden Krankheiten sowie die durch sie hervorgerufenen Antikörper zu erkennen:</w:t>
      </w:r>
    </w:p>
    <w:p>
      <w:pPr>
        <w:ind w:left="780"/>
      </w:pPr>
      <w:r>
        <w:t xml:space="preserve">a) Hämolytisch-Urämisches Syndrom (HUS) einschließlich ihrer Shiga-(Vero-)Toxine,</w:t>
      </w:r>
    </w:p>
    <w:p>
      <w:pPr>
        <w:ind w:left="780"/>
      </w:pPr>
      <w:r>
        <w:t xml:space="preserve">b) Chlamydia Infektionen,</w:t>
      </w:r>
    </w:p>
    <w:p>
      <w:pPr>
        <w:ind w:left="780"/>
      </w:pPr>
      <w:r>
        <w:t xml:space="preserve">c) Paratyphus A, B und C,</w:t>
      </w:r>
    </w:p>
    <w:p>
      <w:pPr>
        <w:ind w:left="780"/>
      </w:pPr>
      <w:r>
        <w:t xml:space="preserve">d) Shigellenruhr,</w:t>
      </w:r>
    </w:p>
    <w:p>
      <w:pPr>
        <w:ind w:left="780"/>
      </w:pPr>
      <w:r>
        <w:t xml:space="preserve">e) Typhus abdominalis,</w:t>
      </w:r>
    </w:p>
    <w:p>
      <w:pPr>
        <w:ind w:left="780"/>
      </w:pPr>
      <w:r>
        <w:t xml:space="preserve">f) Syphilis (Lues),</w:t>
      </w:r>
    </w:p>
    <w:p>
      <w:pPr>
        <w:ind w:left="780"/>
      </w:pPr>
      <w:r>
        <w:t xml:space="preserve">g) Botulismus,</w:t>
      </w:r>
    </w:p>
    <w:p>
      <w:pPr>
        <w:ind w:left="780"/>
      </w:pPr>
      <w:r>
        <w:t xml:space="preserve">h) Milzbrand,</w:t>
      </w:r>
    </w:p>
    <w:p>
      <w:pPr>
        <w:ind w:left="780"/>
      </w:pPr>
      <w:r>
        <w:t xml:space="preserve">i) virusbedingtes hämorrhagisches Fieber;</w:t>
      </w:r>
    </w:p>
    <w:p>
      <w:pPr>
        <w:ind w:left="420"/>
      </w:pPr>
      <w:r>
        <w:t xml:space="preserve">2. Testsera und Testantigene, die dazu bestimmt sind, beim Menschen die Erreger von folgenden Krankheiten oder deren Antigene sowie die durch sie hervorgerufenen Antikörper zu erkennen:</w:t>
      </w:r>
    </w:p>
    <w:p>
      <w:pPr>
        <w:ind w:left="780"/>
      </w:pPr>
      <w:r>
        <w:t xml:space="preserve">a) Hepatitis A und D,</w:t>
      </w:r>
    </w:p>
    <w:p>
      <w:pPr>
        <w:ind w:left="780"/>
      </w:pPr>
      <w:r>
        <w:t xml:space="preserve">b) Cytomegalie,</w:t>
      </w:r>
    </w:p>
    <w:p>
      <w:pPr>
        <w:ind w:left="780"/>
      </w:pPr>
      <w:r>
        <w:t xml:space="preserve">c) Röteln,</w:t>
      </w:r>
    </w:p>
    <w:p>
      <w:pPr>
        <w:ind w:left="780"/>
      </w:pPr>
      <w:r>
        <w:t xml:space="preserve">d) Toxoplasmose;</w:t>
      </w:r>
    </w:p>
    <w:p>
      <w:pPr>
        <w:ind w:left="420"/>
      </w:pPr>
      <w:r>
        <w:t xml:space="preserve">3. Testsera und Testantigene, die dazu bestimmt sind, beim Menschen die Blutgruppenmerkmale A, B und Rh(tief)o/D zu bestimmen und</w:t>
      </w:r>
    </w:p>
    <w:p>
      <w:pPr>
        <w:ind w:left="420"/>
      </w:pPr>
      <w:r>
        <w:t xml:space="preserve">4. Reagenzien und Produkte mit Reagenzien, einschließlich der entsprechenden Kalibrier- und Kontrollmaterialien, zum Nachweis, zur Bestätigung und zur quantitativen Bestimmung von Markern von HIV-Infektionen (HIV 1 und 2) sowie von Hepatitis B und C in Proben menschlichen Ursprungs.</w:t>
      </w:r>
    </w:p>
    <w:p>
      <w:r>
        <w:rPr>
          <w:color w:val="555555"/>
          <w:sz w:val="17"/>
        </w:rPr>
        <w:t xml:space="preserve">Zitiervorschlag: § 1 IVD-AMG-V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https://recht.nulegal.eu/gesetze/IVD-AMG-V/1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