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IUCNVorV</w:t>
      </w:r>
    </w:p>
    <w:p>
      <w:r>
        <w:rPr>
          <w:color w:val="555555"/>
          <w:sz w:val="18"/>
        </w:rPr>
        <w:t xml:space="preserve">Verordnung über die Gewährung von Vorrechten und Befreiungen an die Internationale Union für die Erhaltung der Natur und der natürlichen Hilfsquellen</w:t>
      </w:r>
    </w:p>
    <w:p>
      <w:r>
        <w:rPr>
          <w:color w:val="555555"/>
          <w:sz w:val="18"/>
        </w:rPr>
        <w:t xml:space="preserve">Stand: 10.06.2019 (konsolidierte Textfassung, kein amtliches Inkrafttretensdatum)</w:t>
      </w:r>
    </w:p>
    <w:p>
      <w:r>
        <w:t xml:space="preserve">Auf Grund des Artikels 3 Nummer 1 Buchstabe b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Artikel 4 Absatz 1 des Gesetzes vom 16. August 1980 (BGBl. 1980 II S. 941) neu gefasst worden ist, verordnet die Bundesregierung:</w:t>
      </w:r>
    </w:p>
    <w:p>
      <w:r>
        <w:rPr>
          <w:color w:val="555555"/>
          <w:sz w:val="17"/>
        </w:rPr>
        <w:t xml:space="preserve">Zitiervorschlag: Eingangsformel IUCNVorV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https://recht.nulegal.eu/gesetze/IUCNVorV/eingangsformel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