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ITZBundG — Satzung</w:t>
      </w:r>
    </w:p>
    <w:p>
      <w:r>
        <w:rPr>
          <w:color w:val="555555"/>
          <w:sz w:val="18"/>
        </w:rPr>
        <w:t xml:space="preserve">ITZBund-Umwandlungsgesetz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Bundesanstalt gibt sich eine Satzung. Die Satzung wird durch den Verwaltungsrat erlassen. Sie bedarf der Genehmigung des Bundesministeriums der Finanzen. Die Satzung wird im Bundesanzeiger veröffentlicht.</w:t>
      </w:r>
    </w:p>
    <w:p>
      <w:r>
        <w:t xml:space="preserve">(2) In die Satzung sind insbesondere Bestimmungen aufzunehmen über</w:t>
      </w:r>
    </w:p>
    <w:p>
      <w:pPr>
        <w:ind w:left="420"/>
      </w:pPr>
      <w:r>
        <w:t xml:space="preserve">1. die Aufgaben und Befugnisse des Direktoriums,</w:t>
      </w:r>
    </w:p>
    <w:p>
      <w:pPr>
        <w:ind w:left="420"/>
      </w:pPr>
      <w:r>
        <w:t xml:space="preserve">2. die Aufgaben und Befugnisse des Verwaltungsrats und seiner Mitglieder, die Beschlussfassung und Stimmverteilung im Verwaltungsrat und Einzelheiten der Bestellung und Abberufung der Mitglieder des Verwaltungsrats sowie</w:t>
      </w:r>
    </w:p>
    <w:p>
      <w:pPr>
        <w:ind w:left="420"/>
      </w:pPr>
      <w:r>
        <w:t xml:space="preserve">3. den Wirtschaftsplan.</w:t>
      </w:r>
    </w:p>
    <w:p>
      <w:r>
        <w:rPr>
          <w:color w:val="555555"/>
          <w:sz w:val="17"/>
        </w:rPr>
        <w:t xml:space="preserve">Zitiervorschlag: § 7 ITZBundG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https://recht.nulegal.eu/gesetze/ITZBundG/7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