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ITZBundG — Kundenbeirat der Bundesanstalt</w:t>
      </w:r>
    </w:p>
    <w:p>
      <w:r>
        <w:rPr>
          <w:color w:val="555555"/>
          <w:sz w:val="18"/>
        </w:rPr>
        <w:t xml:space="preserve">ITZBund-Umwandlungsgesetz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Zur Vertretung der Kundeninteressen wird in der Bundesanstalt der bereits in der Behörde eingerichtete Kundenbeirat fortgeführt. Der Kundenbeirat kann sich eine Geschäftsordnung geben.</w:t>
      </w:r>
    </w:p>
    <w:p>
      <w:r>
        <w:rPr>
          <w:color w:val="555555"/>
          <w:sz w:val="17"/>
        </w:rPr>
        <w:t xml:space="preserve">Zitiervorschlag: § 6 ITZBundG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https://recht.nulegal.eu/gesetze/ITZBundG/6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