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ITZBundG — Tätigkeit der Bundesanstalt im Steuerbereich, Auftragsverarbeitung</w:t>
      </w:r>
    </w:p>
    <w:p>
      <w:r>
        <w:rPr>
          <w:color w:val="555555"/>
          <w:sz w:val="18"/>
        </w:rPr>
        <w:t xml:space="preserve">ITZBund-Umwandlungsgesetz</w:t>
      </w:r>
    </w:p>
    <w:p>
      <w:r>
        <w:rPr>
          <w:color w:val="555555"/>
          <w:sz w:val="18"/>
        </w:rPr>
        <w:t xml:space="preserve">Stand: 01.01.2021 (konsolidierte Textfassung, kein amtliches Inkrafttretensdatum)</w:t>
      </w:r>
    </w:p>
    <w:p>
      <w:r>
        <w:t xml:space="preserve">(1) Soweit die Bundesanstalt für andere Bundesfinanzbehörden</w:t>
      </w:r>
    </w:p>
    <w:p>
      <w:pPr>
        <w:ind w:left="420"/>
      </w:pPr>
      <w:r>
        <w:t xml:space="preserve">1. automatisierte Verfahren zur Verarbeitung von Daten, die nach § 30 der Abgabenordnung dem Steuergeheimnis unterliegen, entwickelt oder</w:t>
      </w:r>
    </w:p>
    <w:p>
      <w:pPr>
        <w:ind w:left="420"/>
      </w:pPr>
      <w:r>
        <w:t xml:space="preserve">2. technische Hilfstätigkeiten im Sinne des § 20 Absatz 3 Satz 3 bis 5 des Finanzverwaltungsgesetzes erbringt,</w:t>
      </w:r>
    </w:p>
    <w:p>
      <w:r>
        <w:t xml:space="preserve">unterliegt sie als Bundesfinanzbehörde allein den Weisungen des Bundesministeriums der Finanzen. § 8 Absatz 2 ist insoweit nicht anzuwenden.</w:t>
      </w:r>
    </w:p>
    <w:p>
      <w:r>
        <w:t xml:space="preserve">(2) Geschützte Daten im Sinne des § 30 der Abgabenordnung dürfen in der Bundesanstalt ausschließlich durch Amtsträger im Sinne des § 7 der Abgabenordnung oder durch solche Personen verarbeitet werden, die nach § 11 Absatz 1 Nummer 4 des Strafgesetzbuchs für den öffentlichen Dienst besonders verpflichtet sind.</w:t>
      </w:r>
    </w:p>
    <w:p>
      <w:r>
        <w:t xml:space="preserve">(3) Zur Erbringung von Leistungen im Sinne des Absatzes 1 für andere Bundesfinanzbehörden darf sich die Bundesanstalt nur unter folgenden Voraussetzungen eines Auftragsverarbeiters im Sinne des Artikels 4 Nummer 8 der Verordnung (EU) 2016/679 des Europäischen Parlaments und des Rates vom 27. April 2016 zum Schutz natürlicher Personen bei der Verarbeitung personenbezogener Daten, zum freien Datenverkehr und zur Aufhebung der Richtlinie 95/46/EG (Datenschutz-Grundverordnung) (ABl. L 119 vom 4.5.2016, S. 1; L 314 vom 22.11.2016, S. 72) in der jeweils geltenden Fassung bedienen:</w:t>
      </w:r>
    </w:p>
    <w:p>
      <w:pPr>
        <w:ind w:left="420"/>
      </w:pPr>
      <w:r>
        <w:t xml:space="preserve">1. das Bundesministerium der Finanzen oder die von ihm bestimmte Stelle der Bundesfinanzverwaltung muss der Beauftragung eines Auftragsverarbeiters zugestimmt haben,</w:t>
      </w:r>
    </w:p>
    <w:p>
      <w:pPr>
        <w:ind w:left="420"/>
      </w:pPr>
      <w:r>
        <w:t xml:space="preserve">2. die technische Hilfstätigkeit kann weder von der Bundesverwaltung noch durch automatische Einrichtungen der Behörden eines Landes oder eines anderen Verwaltungsträgers in wirtschaftlich vertretbarer Weise geleistet werden,</w:t>
      </w:r>
    </w:p>
    <w:p>
      <w:pPr>
        <w:ind w:left="420"/>
      </w:pPr>
      <w:r>
        <w:t xml:space="preserve">3. nach § 30 der Abgabenordnung dem Steuergeheimnis unterliegende Daten dürfen beim Auftragsverarbeiter ausschließlich durch Amtsträger im Sinne des § 7 der Abgabenordnung oder durch solche Personen verarbeitet werden, die nach § 11 Absatz 1 Nummer 4 des Strafgesetzbuchs für den öffentlichen Dienst besonders verpflichtet sind,</w:t>
      </w:r>
    </w:p>
    <w:p>
      <w:pPr>
        <w:ind w:left="420"/>
      </w:pPr>
      <w:r>
        <w:t xml:space="preserve">4. die dem Auftragsverarbeiter überlassenen Daten, die von ihm für eine Bundesfinanzbehörde verarbeiteten Daten sowie die Protokolldaten dürfen nicht für andere Zwecke verarbeitet werden,</w:t>
      </w:r>
    </w:p>
    <w:p>
      <w:pPr>
        <w:ind w:left="420"/>
      </w:pPr>
      <w:r>
        <w:t xml:space="preserve">5. die Verarbeitung nach § 30 der Abgabenordnung dem Steuergeheimnis unterliegender Daten durch den Auftragsverarbeiter muss im Inland stattfinden,</w:t>
      </w:r>
    </w:p>
    <w:p>
      <w:pPr>
        <w:ind w:left="420"/>
      </w:pPr>
      <w:r>
        <w:t xml:space="preserve">6. der Auftragsverarbeiter muss im Rahmen der Artikel 25 und 32 der Verordnung (EU) 2016/679 ein vom Bundesministerium der Finanzen freizugebendes IT-Sicherheitskonzept nach dem Standard des aktuellen IT-Grundschutzkatalogs des Bundesamtes für Sicherheit in der Informationstechnik erstellt haben,</w:t>
      </w:r>
    </w:p>
    <w:p>
      <w:pPr>
        <w:ind w:left="420"/>
      </w:pPr>
      <w:r>
        <w:t xml:space="preserve">7. der Auftragsverarbeiter muss die ihm überlassenen Daten entsprechend der vertraglich festgelegten Frist nach Abschluss der Leistung löschen und</w:t>
      </w:r>
    </w:p>
    <w:p>
      <w:pPr>
        <w:ind w:left="420"/>
      </w:pPr>
      <w:r>
        <w:t xml:space="preserve">8. das Ergebnis der Datenverarbeitung muss vom Auftragsverarbeiter protokolliert werden und diese Protokolldaten müssen entsprechend der vertraglich festgelegten Frist an die Bundesanstalt oder die von ihr benannte Stelle übermittelt werden.</w:t>
      </w:r>
    </w:p>
    <w:p>
      <w:r>
        <w:t xml:space="preserve">Der Auftragsverarbeiter der Bundesanstalt darf sich nur mit Zustimmung des Bundesministeriums der Finanzen oder der von ihm bestimmten Stelle der Bundesfinanzverwaltung und unter Einhaltung der in Satz 1 bezeichneten Voraussetzungen eines weiteren Auftragsverarbeiters bedienen.</w:t>
      </w:r>
    </w:p>
    <w:p>
      <w:r>
        <w:rPr>
          <w:color w:val="555555"/>
          <w:sz w:val="17"/>
        </w:rPr>
        <w:t xml:space="preserve">Zitiervorschlag: § 10 ITZBundG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https://recht.nulegal.eu/gesetze/ITZBundG/10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