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ITZBundG — Errichtung, Sitz, Außenstellen</w:t>
      </w:r>
    </w:p>
    <w:p>
      <w:r>
        <w:rPr>
          <w:color w:val="555555"/>
          <w:sz w:val="18"/>
        </w:rPr>
        <w:t xml:space="preserve">ITZBund-Umwandlungsgesetz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Im Geschäftsbereich des Bundesministeriums der Finanzen wird das Informationstechnikzentrum Bund in eine bundesunmittelbare nichtrechtsfähige Anstalt des öffentlichen Rechts umgewandelt (Bundesanstalt). Sie ist eine Bundesoberbehörde und trägt die Bezeichnung „Informationstechnikzentrum Bund (ITZBund)“.</w:t>
      </w:r>
    </w:p>
    <w:p>
      <w:r>
        <w:t xml:space="preserve">(2) Die Bundesanstalt hat ihren Sitz in Bonn. Sie kann Außenstellen als Hauptstellen oder Nebenstellen einrichten.</w:t>
      </w:r>
    </w:p>
    <w:p>
      <w:r>
        <w:rPr>
          <w:color w:val="555555"/>
          <w:sz w:val="17"/>
        </w:rPr>
        <w:t xml:space="preserve">Zitiervorschlag: § 1 ITZBundG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https://recht.nulegal.eu/gesetze/ITZBundG/1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