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ITSManKflAusbV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IT-System-Management-Kaufleute-Ausbildungsverordnung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Einrichten eines IT-gestützten Arbeits- platzes mit    20 Prozent,</w:t>
      </w:r>
    </w:p>
    <w:p>
      <w:r>
        <w:rPr>
          <w:rFonts w:ascii="Courier New" w:hAnsi="Courier New"/>
          <w:sz w:val="17"/>
        </w:rPr>
        <w:t xml:space="preserve">Abwicklung eines Kundenauftrages mit    50 Prozent,</w:t>
      </w:r>
    </w:p>
    <w:p>
      <w:r>
        <w:rPr>
          <w:rFonts w:ascii="Courier New" w:hAnsi="Courier New"/>
          <w:sz w:val="17"/>
        </w:rPr>
        <w:t xml:space="preserve">Einführen einer IT-Systemlösung mit    10 Prozent,</w:t>
      </w:r>
    </w:p>
    <w:p>
      <w:r>
        <w:rPr>
          <w:rFonts w:ascii="Courier New" w:hAnsi="Courier New"/>
          <w:sz w:val="17"/>
        </w:rPr>
        <w:t xml:space="preserve">Kaufmännische Unterstützungs- prozesse mit    10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15 ITSManKflAusbV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https://recht.nulegal.eu/gesetze/ITSManKflAusbV/15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