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ITSABV — Zweck und Anwendungsbereich</w:t>
      </w:r>
    </w:p>
    <w:p>
      <w:r>
        <w:rPr>
          <w:color w:val="555555"/>
          <w:sz w:val="18"/>
        </w:rPr>
        <w:t xml:space="preserve">ITS-Arzneimittelbevorratungsverordnung</w:t>
      </w:r>
    </w:p>
    <w:p>
      <w:r>
        <w:rPr>
          <w:color w:val="555555"/>
          <w:sz w:val="18"/>
        </w:rPr>
        <w:t xml:space="preserve">Historische Fassung: Stand 31.03.2021 bis 06.07.2021. Dies ist nicht die aktuelle Fassung.</w:t>
      </w:r>
    </w:p>
    <w:p>
      <w:r>
        <w:t xml:space="preserve">(1) Diese Verordnung dient der Sicherstellung der intensivmedizinischen Versorgung von Patientinnen und Patienten in Krankenhäusern während der vom Deutschen Bundestag am 28. März 2020 festgestellten epidemischen Lage von nationaler Tragweite.</w:t>
      </w:r>
    </w:p>
    <w:p>
      <w:r>
        <w:t xml:space="preserve">(2) Diese Verordnung gilt für parenteral anzuwendende Arzneimittel zur intensivmedizinischen Versorgung mit den folgenden Wirkstoffen:</w:t>
      </w:r>
    </w:p>
    <w:p>
      <w:pPr>
        <w:ind w:left="420"/>
      </w:pPr>
      <w:r>
        <w:t xml:space="preserve">1. Adrenalin,</w:t>
      </w:r>
    </w:p>
    <w:p>
      <w:pPr>
        <w:ind w:left="420"/>
      </w:pPr>
      <w:r>
        <w:t xml:space="preserve">2. Amiodaron,</w:t>
      </w:r>
    </w:p>
    <w:p>
      <w:pPr>
        <w:ind w:left="420"/>
      </w:pPr>
      <w:r>
        <w:t xml:space="preserve">3. Argatroban,</w:t>
      </w:r>
    </w:p>
    <w:p>
      <w:pPr>
        <w:ind w:left="420"/>
      </w:pPr>
      <w:r>
        <w:t xml:space="preserve">4. Clonidin,</w:t>
      </w:r>
    </w:p>
    <w:p>
      <w:pPr>
        <w:ind w:left="420"/>
      </w:pPr>
      <w:r>
        <w:t xml:space="preserve">5. Esmolol,</w:t>
      </w:r>
    </w:p>
    <w:p>
      <w:pPr>
        <w:ind w:left="420"/>
      </w:pPr>
      <w:r>
        <w:t xml:space="preserve">6. Heparine,</w:t>
      </w:r>
    </w:p>
    <w:p>
      <w:pPr>
        <w:ind w:left="420"/>
      </w:pPr>
      <w:r>
        <w:t xml:space="preserve">7. Meropenem,</w:t>
      </w:r>
    </w:p>
    <w:p>
      <w:pPr>
        <w:ind w:left="420"/>
      </w:pPr>
      <w:r>
        <w:t xml:space="preserve">8. Midazolam,</w:t>
      </w:r>
    </w:p>
    <w:p>
      <w:pPr>
        <w:ind w:left="420"/>
      </w:pPr>
      <w:r>
        <w:t xml:space="preserve">9. Morphin,</w:t>
      </w:r>
    </w:p>
    <w:p>
      <w:pPr>
        <w:ind w:left="420"/>
      </w:pPr>
      <w:r>
        <w:t xml:space="preserve">10. Noradrenalin,</w:t>
      </w:r>
    </w:p>
    <w:p>
      <w:pPr>
        <w:ind w:left="420"/>
      </w:pPr>
      <w:r>
        <w:t xml:space="preserve">11. Novaminsulfon,</w:t>
      </w:r>
    </w:p>
    <w:p>
      <w:pPr>
        <w:ind w:left="420"/>
      </w:pPr>
      <w:r>
        <w:t xml:space="preserve">12. Piperazillin/Tazobactam,</w:t>
      </w:r>
    </w:p>
    <w:p>
      <w:pPr>
        <w:ind w:left="420"/>
      </w:pPr>
      <w:r>
        <w:t xml:space="preserve">13. Propofol,</w:t>
      </w:r>
    </w:p>
    <w:p>
      <w:pPr>
        <w:ind w:left="420"/>
      </w:pPr>
      <w:r>
        <w:t xml:space="preserve">14. Sufentanil.</w:t>
      </w:r>
    </w:p>
    <w:p>
      <w:r>
        <w:rPr>
          <w:color w:val="555555"/>
          <w:sz w:val="17"/>
        </w:rPr>
        <w:t xml:space="preserve">Zitiervorschlag: § 1 ITSABV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https://recht.nulegal.eu/gesetze/ITSABV/1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