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ITFG — Zuständigkeit</w:t>
      </w:r>
    </w:p>
    <w:p>
      <w:r>
        <w:rPr>
          <w:color w:val="555555"/>
          <w:sz w:val="18"/>
        </w:rPr>
        <w:t xml:space="preserve">Gesetz zur Errichtung eines Sondervermögens „Investitions- und Tilgungsfonds“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Durchführung des Programms zur Stärkung der Pkw-Nachfrage ist das Bundesamt für Wirtschaft und Ausfuhrkontrolle zuständig.</w:t>
      </w:r>
    </w:p>
    <w:p>
      <w:r>
        <w:rPr>
          <w:color w:val="555555"/>
          <w:sz w:val="17"/>
        </w:rPr>
        <w:t xml:space="preserve">Zitiervorschlag: § 9 ITFG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https://recht.nulegal.eu/gesetze/ITFG/9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