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ITFG — Tilgung</w:t>
      </w:r>
    </w:p>
    <w:p>
      <w:r>
        <w:rPr>
          <w:color w:val="555555"/>
          <w:sz w:val="18"/>
        </w:rPr>
        <w:t xml:space="preserve">Gesetz zur Errichtung eines Sondervermögens „Investitions- und Tilgungsfonds“</w:t>
      </w:r>
    </w:p>
    <w:p>
      <w:r>
        <w:rPr>
          <w:color w:val="555555"/>
          <w:sz w:val="18"/>
        </w:rPr>
        <w:t xml:space="preserve">Stand: 10.06.2019 (konsolidierte Textfassung, kein amtliches Inkrafttretensdatum)</w:t>
      </w:r>
    </w:p>
    <w:p>
      <w:r>
        <w:t xml:space="preserve">(1) Das Sondervermögen erhält aus dem Bundeshaushalt mit Wirkung vom 1. Januar 2010 jährlich Zuführungen in Höhe der Einnahmen aus dem Bundesbankgewinn, die den im Bundeshaushalt veranschlagten Anteil übersteigen und nicht zur Tilgung der Schulden des Erblastentilgungsfonds nach § 6 Absatz 1 Nummer 1 des Erblastentilgungsfondsgesetzes benötigt werden. Die Zuführungen sind zur Tilgung der Verbindlichkeiten des Sondervermögens zu verwenden.</w:t>
      </w:r>
    </w:p>
    <w:p>
      <w:r>
        <w:t xml:space="preserve">(2) Der im Bundeshaushalt zu veranschlagende Anteil am Bundesbankgewinn wird für das Jahr 2010 auf einen Betrag von bis zu 3,5 Milliarden Euro, für das Jahr 2011 auf bis zu 3 Milliarden Euro und für das Jahr 2012 und die Folgejahre so lange auf bis zu 2,5 Milliarden Euro festgesetzt, bis die Verbindlichkeiten des Sondervermögens vollständig getilgt sind.</w:t>
      </w:r>
    </w:p>
    <w:p>
      <w:r>
        <w:rPr>
          <w:color w:val="555555"/>
          <w:sz w:val="17"/>
        </w:rPr>
        <w:t xml:space="preserve">Zitiervorschlag: § 6 ITFG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