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ITFG — Kreditermächtigung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Das Bundesministerium der Finanzen wird ermächtigt, zur Deckung der Ausgaben des Sondervermögens Kredite bis zur Höhe von 25,2 Milliarden Euro aufzunehmen.</w:t>
      </w:r>
    </w:p>
    <w:p>
      <w:r>
        <w:t xml:space="preserve">(2) Dem Kreditrahmen nach Absatz 1 wachsen die Beträge aus getilgten Krediten wieder zu.</w:t>
      </w:r>
    </w:p>
    <w:p>
      <w:r>
        <w:t xml:space="preserve">(3) Auf die Kreditermächtigung ist der Nennwert anzurechnen.</w:t>
      </w:r>
    </w:p>
    <w:p>
      <w:r>
        <w:rPr>
          <w:color w:val="555555"/>
          <w:sz w:val="17"/>
        </w:rPr>
        <w:t xml:space="preserve">Zitiervorschlag: § 5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