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ITFG — Zweck des Sondervermögens</w:t>
      </w:r>
    </w:p>
    <w:p>
      <w:r>
        <w:rPr>
          <w:color w:val="555555"/>
          <w:sz w:val="18"/>
        </w:rPr>
        <w:t xml:space="preserve">Gesetz zur Errichtung eines Sondervermögens „Investitions- und Tilgungsfonds“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dem Sondervermögen sollen folgende Maßnahmen des Konjunkturpakets der Bundesregierung vom 14. Januar 2009 bis zu einem Betrag von 20,4 Milliarden Euro finanziert werden:</w:t>
      </w:r>
    </w:p>
    <w:p>
      <w:pPr>
        <w:ind w:left="420"/>
      </w:pPr>
      <w:r>
        <w:t xml:space="preserve">– Finanzhilfen für zusätzliche Zukunftsinvestitionen der Kommunen und Länder mit bis zu 10 Milliarden Euro,</w:t>
      </w:r>
    </w:p>
    <w:p>
      <w:pPr>
        <w:ind w:left="420"/>
      </w:pPr>
      <w:r>
        <w:t xml:space="preserve">– Investitionen des Bundes mit bis zu 4 Milliarden Euro,</w:t>
      </w:r>
    </w:p>
    <w:p>
      <w:pPr>
        <w:ind w:left="420"/>
      </w:pPr>
      <w:r>
        <w:t xml:space="preserve">– Programm zur Stärkung der Pkw-Nachfrage mit bis zu 5 Milliarden Euro,</w:t>
      </w:r>
    </w:p>
    <w:p>
      <w:pPr>
        <w:ind w:left="420"/>
      </w:pPr>
      <w:r>
        <w:t xml:space="preserve">– Ausweitung des zentralen Innovationsprogramms Mittelstand mit bis zu 900 Millionen Euro und</w:t>
      </w:r>
    </w:p>
    <w:p>
      <w:pPr>
        <w:ind w:left="420"/>
      </w:pPr>
      <w:r>
        <w:t xml:space="preserve">– Förderung anwendungsorientierter Forschung im Bereich Mobilität mit bis zu 500 Millionen Euro.</w:t>
      </w:r>
    </w:p>
    <w:p>
      <w:r>
        <w:rPr>
          <w:color w:val="555555"/>
          <w:sz w:val="17"/>
        </w:rPr>
        <w:t xml:space="preserve">Zitiervorschlag: § 2 ITFG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https://recht.nulegal.eu/gesetze/ITFG/2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