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ITBeaufV (Brandenburg) — Inkrafttreten</w:t>
      </w:r>
    </w:p>
    <w:p>
      <w:r>
        <w:rPr>
          <w:color w:val="555555"/>
          <w:sz w:val="18"/>
        </w:rPr>
        <w:t xml:space="preserve">IT-Beauftragten-Verordnung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27. Juni 2019</w:t>
      </w:r>
    </w:p>
    <w:p>
      <w:r>
        <w:t xml:space="preserve">Der Minister des Innern und für Kommunales</w:t>
      </w:r>
    </w:p>
    <w:p>
      <w:r>
        <w:t xml:space="preserve">Karl-Heinz Schröter</w:t>
      </w:r>
    </w:p>
    <w:p>
      <w:r>
        <w:rPr>
          <w:color w:val="555555"/>
          <w:sz w:val="17"/>
        </w:rPr>
        <w:t xml:space="preserve">Zitiervorschlag: § 3 ITBeaufV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https://recht.nulegal.eu/gesetze/ITBeaufV/3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